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pacing w:after="0" w:line="38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4" w:lineRule="exact"/>
        <w:rPr>
          <w:sz w:val="24"/>
          <w:szCs w:val="24"/>
          <w:color w:val="auto"/>
        </w:rPr>
      </w:pPr>
    </w:p>
    <w:p>
      <w:pPr>
        <w:ind w:left="800" w:hanging="479"/>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36" w:lineRule="exact"/>
        <w:rPr>
          <w:rFonts w:ascii="MS PGothic" w:cs="MS PGothic" w:eastAsia="MS PGothic" w:hAnsi="MS PGothic"/>
          <w:sz w:val="16"/>
          <w:szCs w:val="16"/>
          <w:color w:val="auto"/>
        </w:rPr>
      </w:pPr>
    </w:p>
    <w:p>
      <w:pPr>
        <w:ind w:left="8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fiscal year ended December 31, 2024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800" w:hanging="479"/>
        <w:spacing w:after="0"/>
        <w:tabs>
          <w:tab w:leader="none" w:pos="8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SECURITIES EXCHANGE ACT OF 1934</w:t>
      </w:r>
    </w:p>
    <w:p>
      <w:pPr>
        <w:spacing w:after="0" w:line="10"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 w:type="dxa"/>
            <w:vAlign w:val="bottom"/>
          </w:tcPr>
          <w:p>
            <w:pPr>
              <w:spacing w:after="0"/>
              <w:rPr>
                <w:sz w:val="16"/>
                <w:szCs w:val="16"/>
                <w:color w:val="auto"/>
              </w:rPr>
            </w:pPr>
          </w:p>
        </w:tc>
        <w:tc>
          <w:tcPr>
            <w:tcW w:w="3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98"/>
        </w:trPr>
        <w:tc>
          <w:tcPr>
            <w:tcW w:w="2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Commission file number 001-37809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2014855</wp:posOffset>
            </wp:positionH>
            <wp:positionV relativeFrom="paragraph">
              <wp:posOffset>3810</wp:posOffset>
            </wp:positionV>
            <wp:extent cx="245173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METAVIA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600" w:type="dxa"/>
        <w:tblCellMar>
          <w:top w:w="0" w:type="dxa"/>
          <w:left w:w="0" w:type="dxa"/>
          <w:bottom w:w="0" w:type="dxa"/>
          <w:right w:w="0" w:type="dxa"/>
        </w:tblCellMar>
      </w:tblPr>
      <w:tr>
        <w:trPr>
          <w:trHeight w:val="204"/>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30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47-2389984</w:t>
            </w:r>
          </w:p>
        </w:tc>
      </w:tr>
      <w:tr>
        <w:trPr>
          <w:trHeight w:val="210"/>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0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7"/>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545 Concord Avenue, Suite 210</w:t>
            </w:r>
          </w:p>
        </w:tc>
        <w:tc>
          <w:tcPr>
            <w:tcW w:w="4300" w:type="dxa"/>
            <w:vAlign w:val="bottom"/>
          </w:tcPr>
          <w:p>
            <w:pPr>
              <w:spacing w:after="0"/>
              <w:rPr>
                <w:sz w:val="21"/>
                <w:szCs w:val="21"/>
                <w:color w:val="auto"/>
              </w:rPr>
            </w:pPr>
          </w:p>
        </w:tc>
      </w:tr>
      <w:tr>
        <w:trPr>
          <w:trHeight w:val="204"/>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430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02138</w:t>
            </w:r>
          </w:p>
        </w:tc>
      </w:tr>
      <w:tr>
        <w:trPr>
          <w:trHeight w:val="210"/>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00" w:type="dxa"/>
            <w:vAlign w:val="bottom"/>
          </w:tcPr>
          <w:p>
            <w:pPr>
              <w:jc w:val="center"/>
              <w:ind w:left="1979"/>
              <w:spacing w:after="0"/>
              <w:rPr>
                <w:sz w:val="20"/>
                <w:szCs w:val="20"/>
                <w:color w:val="auto"/>
              </w:rPr>
            </w:pPr>
            <w:r>
              <w:rPr>
                <w:rFonts w:ascii="Times New Roman" w:cs="Times New Roman" w:eastAsia="Times New Roman" w:hAnsi="Times New Roman"/>
                <w:sz w:val="16"/>
                <w:szCs w:val="16"/>
                <w:color w:val="auto"/>
              </w:rPr>
              <w:t>(Zip Code)</w:t>
            </w:r>
          </w:p>
        </w:tc>
      </w:tr>
      <w:tr>
        <w:trPr>
          <w:trHeight w:val="257"/>
        </w:trPr>
        <w:tc>
          <w:tcPr>
            <w:tcW w:w="3940" w:type="dxa"/>
            <w:vAlign w:val="bottom"/>
          </w:tcPr>
          <w:p>
            <w:pPr>
              <w:spacing w:after="0"/>
              <w:rPr>
                <w:sz w:val="22"/>
                <w:szCs w:val="22"/>
                <w:color w:val="auto"/>
              </w:rPr>
            </w:pPr>
          </w:p>
        </w:tc>
        <w:tc>
          <w:tcPr>
            <w:tcW w:w="4300" w:type="dxa"/>
            <w:vAlign w:val="bottom"/>
          </w:tcPr>
          <w:p>
            <w:pPr>
              <w:jc w:val="right"/>
              <w:ind w:right="3139"/>
              <w:spacing w:after="0"/>
              <w:rPr>
                <w:sz w:val="20"/>
                <w:szCs w:val="20"/>
                <w:color w:val="auto"/>
              </w:rPr>
            </w:pPr>
            <w:r>
              <w:rPr>
                <w:rFonts w:ascii="Times New Roman" w:cs="Times New Roman" w:eastAsia="Times New Roman" w:hAnsi="Times New Roman"/>
                <w:sz w:val="16"/>
                <w:szCs w:val="16"/>
                <w:b w:val="1"/>
                <w:bCs w:val="1"/>
                <w:color w:val="auto"/>
              </w:rPr>
              <w:t>(857) 702-9600</w:t>
            </w:r>
          </w:p>
        </w:tc>
      </w:tr>
    </w:tbl>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8" w:lineRule="exact"/>
        <w:rPr>
          <w:sz w:val="24"/>
          <w:szCs w:val="24"/>
          <w:color w:val="auto"/>
        </w:rPr>
      </w:pPr>
    </w:p>
    <w:tbl>
      <w:tblPr>
        <w:tblLayout w:type="fixed"/>
        <w:tblInd w:w="320" w:type="dxa"/>
        <w:tblCellMar>
          <w:top w:w="0" w:type="dxa"/>
          <w:left w:w="0" w:type="dxa"/>
          <w:bottom w:w="0" w:type="dxa"/>
          <w:right w:w="0" w:type="dxa"/>
        </w:tblCellMar>
      </w:tblPr>
      <w:tr>
        <w:trPr>
          <w:trHeight w:val="210"/>
        </w:trPr>
        <w:tc>
          <w:tcPr>
            <w:tcW w:w="3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49"/>
        </w:trPr>
        <w:tc>
          <w:tcPr>
            <w:tcW w:w="1040" w:type="dxa"/>
            <w:vAlign w:val="bottom"/>
          </w:tcPr>
          <w:p>
            <w:pPr>
              <w:spacing w:after="0"/>
              <w:rPr>
                <w:sz w:val="21"/>
                <w:szCs w:val="21"/>
                <w:color w:val="auto"/>
              </w:rPr>
            </w:pPr>
          </w:p>
        </w:tc>
        <w:tc>
          <w:tcPr>
            <w:tcW w:w="2840" w:type="dxa"/>
            <w:vAlign w:val="bottom"/>
            <w:gridSpan w:val="2"/>
          </w:tcPr>
          <w:p>
            <w:pPr>
              <w:jc w:val="center"/>
              <w:ind w:right="16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Trading Symbol(s)</w:t>
            </w:r>
          </w:p>
        </w:tc>
        <w:tc>
          <w:tcPr>
            <w:tcW w:w="324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color w:val="auto"/>
              </w:rPr>
              <w:t>Name of Exchange on Which Registered</w:t>
            </w: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217"/>
        </w:trPr>
        <w:tc>
          <w:tcPr>
            <w:tcW w:w="388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8"/>
                <w:szCs w:val="18"/>
                <w:color w:val="auto"/>
              </w:rPr>
            </w:pPr>
          </w:p>
        </w:tc>
        <w:tc>
          <w:tcPr>
            <w:tcW w:w="184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color w:val="auto"/>
                <w:w w:val="97"/>
              </w:rPr>
              <w:t>MTVA</w:t>
            </w:r>
          </w:p>
        </w:tc>
        <w:tc>
          <w:tcPr>
            <w:tcW w:w="6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2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0" w:lineRule="exact"/>
        <w:rPr>
          <w:sz w:val="24"/>
          <w:szCs w:val="24"/>
          <w:color w:val="auto"/>
        </w:rPr>
      </w:pPr>
    </w:p>
    <w:p>
      <w:pPr>
        <w:ind w:left="320" w:right="126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8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right="8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right="8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150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0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00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260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pacing w:after="0" w:line="34" w:lineRule="exact"/>
        <w:rPr>
          <w:sz w:val="24"/>
          <w:szCs w:val="24"/>
          <w:color w:val="auto"/>
        </w:rPr>
      </w:pPr>
    </w:p>
    <w:p>
      <w:pPr>
        <w:ind w:right="26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4"/>
          <w:szCs w:val="24"/>
          <w:color w:val="auto"/>
        </w:rPr>
      </w:pPr>
    </w:p>
    <w:p>
      <w:pPr>
        <w:jc w:val="both"/>
        <w:ind w:right="2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jc w:val="both"/>
        <w:ind w:firstLine="324"/>
        <w:spacing w:after="0" w:line="298" w:lineRule="auto"/>
        <w:rPr>
          <w:sz w:val="20"/>
          <w:szCs w:val="20"/>
          <w:color w:val="auto"/>
        </w:rPr>
      </w:pPr>
      <w:r>
        <w:rPr>
          <w:rFonts w:ascii="Times New Roman" w:cs="Times New Roman" w:eastAsia="Times New Roman" w:hAnsi="Times New Roman"/>
          <w:sz w:val="16"/>
          <w:szCs w:val="16"/>
          <w:color w:val="auto"/>
        </w:rPr>
        <w:t>As of June 30, 2024, the aggregate market value of the registrant’s common stock held by non-affiliates of the registrant was approximately $13.8 million, based on the closing price on the Nasdaq Capital Market on the last business day of the registrant’s most recently completed second fiscal quarter.</w:t>
      </w:r>
    </w:p>
    <w:p>
      <w:pPr>
        <w:spacing w:after="0" w:line="1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March 17, 2025, the registrant had 8,654,869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526415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88900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10"/>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7"/>
              </w:rPr>
              <w:t>METAVIA INC</w:t>
            </w:r>
            <w:r>
              <w:rPr>
                <w:rFonts w:ascii="Times New Roman" w:cs="Times New Roman" w:eastAsia="Times New Roman" w:hAnsi="Times New Roman"/>
                <w:sz w:val="18"/>
                <w:szCs w:val="18"/>
                <w:color w:val="auto"/>
                <w:w w:val="97"/>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11"/>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5180" w:type="dxa"/>
            <w:vAlign w:val="bottom"/>
            <w:tcBorders>
              <w:bottom w:val="single" w:sz="8" w:color="CCEEFF"/>
            </w:tcBorders>
            <w:gridSpan w:val="11"/>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060" w:type="dxa"/>
            <w:vAlign w:val="bottom"/>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Summary Risk Factors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Part I</w:t>
            </w:r>
          </w:p>
        </w:tc>
        <w:tc>
          <w:tcPr>
            <w:tcW w:w="4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340" w:type="dxa"/>
            <w:vAlign w:val="bottom"/>
            <w:tcBorders>
              <w:bottom w:val="single" w:sz="8" w:color="CCEEFF"/>
            </w:tcBorders>
            <w:gridSpan w:val="20"/>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1B.</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1C</w:t>
            </w:r>
            <w:r>
              <w:rPr>
                <w:rFonts w:ascii="Times New Roman" w:cs="Times New Roman" w:eastAsia="Times New Roman" w:hAnsi="Times New Roman"/>
                <w:sz w:val="18"/>
                <w:szCs w:val="18"/>
                <w:color w:val="000000"/>
              </w:rPr>
              <w:t>.</w:t>
            </w:r>
          </w:p>
        </w:tc>
        <w:tc>
          <w:tcPr>
            <w:tcW w:w="82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3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220" w:type="dxa"/>
            <w:vAlign w:val="bottom"/>
            <w:tcBorders>
              <w:top w:val="single" w:sz="8" w:color="CCEEFF"/>
            </w:tcBorders>
            <w:gridSpan w:val="5"/>
          </w:tcPr>
          <w:p>
            <w:pPr>
              <w:spacing w:after="0"/>
              <w:rPr>
                <w:sz w:val="15"/>
                <w:szCs w:val="15"/>
                <w:color w:val="auto"/>
              </w:rPr>
            </w:pPr>
          </w:p>
        </w:tc>
        <w:tc>
          <w:tcPr>
            <w:tcW w:w="1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240" w:type="dxa"/>
            <w:vAlign w:val="bottom"/>
            <w:tcBorders>
              <w:top w:val="single" w:sz="8" w:color="CCEEFF"/>
            </w:tcBorders>
            <w:gridSpan w:val="19"/>
          </w:tcPr>
          <w:p>
            <w:pPr>
              <w:spacing w:after="0"/>
              <w:rPr>
                <w:sz w:val="15"/>
                <w:szCs w:val="15"/>
                <w:color w:val="auto"/>
              </w:rPr>
            </w:pPr>
          </w:p>
        </w:tc>
        <w:tc>
          <w:tcPr>
            <w:tcW w:w="36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3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Part II</w:t>
            </w:r>
          </w:p>
        </w:tc>
        <w:tc>
          <w:tcPr>
            <w:tcW w:w="34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3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7A.</w:t>
            </w:r>
          </w:p>
        </w:tc>
        <w:tc>
          <w:tcPr>
            <w:tcW w:w="160" w:type="dxa"/>
            <w:vAlign w:val="bottom"/>
            <w:gridSpan w:val="2"/>
            <w:shd w:val="clear" w:color="auto" w:fill="CCEEFF"/>
          </w:tcPr>
          <w:p>
            <w:pPr>
              <w:spacing w:after="0"/>
              <w:rPr>
                <w:sz w:val="17"/>
                <w:szCs w:val="17"/>
                <w:color w:val="auto"/>
              </w:rPr>
            </w:pPr>
          </w:p>
        </w:tc>
        <w:tc>
          <w:tcPr>
            <w:tcW w:w="82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160" w:type="dxa"/>
            <w:vAlign w:val="bottom"/>
            <w:tcBorders>
              <w:top w:val="single" w:sz="8" w:color="CCEEFF"/>
            </w:tcBorders>
            <w:gridSpan w:val="2"/>
          </w:tcPr>
          <w:p>
            <w:pPr>
              <w:spacing w:after="0"/>
              <w:rPr>
                <w:sz w:val="15"/>
                <w:szCs w:val="15"/>
                <w:color w:val="auto"/>
              </w:rPr>
            </w:pPr>
          </w:p>
        </w:tc>
        <w:tc>
          <w:tcPr>
            <w:tcW w:w="43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900" w:type="dxa"/>
            <w:vAlign w:val="bottom"/>
            <w:tcBorders>
              <w:top w:val="single" w:sz="8" w:color="CCEEFF"/>
            </w:tcBorders>
            <w:gridSpan w:val="7"/>
          </w:tcPr>
          <w:p>
            <w:pPr>
              <w:spacing w:after="0"/>
              <w:rPr>
                <w:sz w:val="15"/>
                <w:szCs w:val="15"/>
                <w:color w:val="auto"/>
              </w:rPr>
            </w:pPr>
          </w:p>
        </w:tc>
        <w:tc>
          <w:tcPr>
            <w:tcW w:w="36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82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9A.</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w:t>
            </w:r>
          </w:p>
        </w:tc>
        <w:tc>
          <w:tcPr>
            <w:tcW w:w="82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3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Prevents Inspections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Part III</w:t>
            </w:r>
          </w:p>
        </w:tc>
        <w:tc>
          <w:tcPr>
            <w:tcW w:w="2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11.</w:t>
            </w:r>
          </w:p>
        </w:tc>
        <w:tc>
          <w:tcPr>
            <w:tcW w:w="200" w:type="dxa"/>
            <w:vAlign w:val="bottom"/>
            <w:tcBorders>
              <w:bottom w:val="single" w:sz="8" w:color="CCEEFF"/>
            </w:tcBorders>
            <w:gridSpan w:val="4"/>
            <w:shd w:val="clear" w:color="auto" w:fill="CCEEFF"/>
          </w:tcPr>
          <w:p>
            <w:pPr>
              <w:spacing w:after="0"/>
              <w:rPr>
                <w:sz w:val="17"/>
                <w:szCs w:val="17"/>
                <w:color w:val="auto"/>
              </w:rPr>
            </w:pPr>
          </w:p>
        </w:tc>
        <w:tc>
          <w:tcPr>
            <w:tcW w:w="18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6440" w:type="dxa"/>
            <w:vAlign w:val="bottom"/>
            <w:tcBorders>
              <w:bottom w:val="single" w:sz="8" w:color="CCEEFF"/>
            </w:tcBorders>
            <w:gridSpan w:val="14"/>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13.</w:t>
            </w:r>
          </w:p>
        </w:tc>
        <w:tc>
          <w:tcPr>
            <w:tcW w:w="200" w:type="dxa"/>
            <w:vAlign w:val="bottom"/>
            <w:tcBorders>
              <w:bottom w:val="single" w:sz="8" w:color="CCEEFF"/>
            </w:tcBorders>
            <w:gridSpan w:val="4"/>
            <w:shd w:val="clear" w:color="auto" w:fill="CCEEFF"/>
          </w:tcPr>
          <w:p>
            <w:pPr>
              <w:spacing w:after="0"/>
              <w:rPr>
                <w:sz w:val="17"/>
                <w:szCs w:val="17"/>
                <w:color w:val="auto"/>
              </w:rPr>
            </w:pPr>
          </w:p>
        </w:tc>
        <w:tc>
          <w:tcPr>
            <w:tcW w:w="54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280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2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w:t>
            </w:r>
          </w:p>
        </w:tc>
        <w:tc>
          <w:tcPr>
            <w:tcW w:w="200" w:type="dxa"/>
            <w:vAlign w:val="bottom"/>
            <w:tcBorders>
              <w:bottom w:val="single" w:sz="8" w:color="CCEEFF"/>
            </w:tcBorders>
            <w:gridSpan w:val="4"/>
            <w:shd w:val="clear" w:color="auto" w:fill="CCEEFF"/>
          </w:tcPr>
          <w:p>
            <w:pPr>
              <w:spacing w:after="0"/>
              <w:rPr>
                <w:sz w:val="17"/>
                <w:szCs w:val="17"/>
                <w:color w:val="auto"/>
              </w:rPr>
            </w:pPr>
          </w:p>
        </w:tc>
        <w:tc>
          <w:tcPr>
            <w:tcW w:w="15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6700" w:type="dxa"/>
            <w:vAlign w:val="bottom"/>
            <w:tcBorders>
              <w:bottom w:val="single" w:sz="8" w:color="CCEEFF"/>
            </w:tcBorders>
            <w:gridSpan w:val="16"/>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2"/>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100" w:type="dxa"/>
            <w:vAlign w:val="bottom"/>
            <w:gridSpan w:val="17"/>
          </w:tcPr>
          <w:p>
            <w:pPr>
              <w:jc w:val="center"/>
              <w:ind w:left="3451"/>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20"/>
          </w:cols>
          <w:pgMar w:left="1320" w:top="513" w:right="11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Annual Report on Form 10-K for the fiscal year ended December 31, 2024 (this “Annual Report” or “Report”) to “we,” “us,” “the Company,” “MetaVia” and “our” refer to MetaVia Inc. (the “Company”) and its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safe harbor provisions of Section 27A of the Securities Act of 1933, as amended (the “Securities Act”), and Section 21E of the Securities Exchange Act of 1934, as amended (the “Exchange Act”). All statements that address future operating performance, events or developments that we expect or anticipate will occur in the future are forward-looking statements, including without limitation, our expectations regarding our ability to execute our commercial strategy; our expectations regarding the sufficiency of our existing cash on hand to fund our operations; the timeline for regulatory submissions, regulatory steps and potential regulatory approval of our current and future product candidates; the ability to realize the benefits of the license agreement with Dong-A ST Co., Ltd., a related party (“Dong-A”), including the impact on our future financial and operating results; the ability to integrate the product candidates into our business in a timely and cost-efficient manner; the cooperation of our contract manufacturers, clinical study partners and others involved in the development of our current and future product candidates; our ability to initiate clinical trials on a timely basis; our planned clinical trials and our ability to recruit subjects for our clinical trials; the costs related to the license agreement, known and unknown, including costs of any litigation or regulatory actions relating to the license agreement; the changes in applicable laws or regulations; and the effects of changes to our stock price on the terms of the license agreement and any future fundraising and other risks and uncertainties described in our filings with the Securities and Exchange Commission (“SEC”).</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and assumptions about future events, which are inherently subject to uncertainties, risks and changes in circumstances that are difficult to predict. These statements may be identified by words such as “anticipate,” “believe,” “continue,” “could,” “estimate,” “expect,” “intend,” “may,” “ongoing,” “plan,” “potential,” “predict,” “project,” “should,” “will,” “would” or the negative of these terms or other comparable terminology, although not all forward-looking statements contain these words. In addition, statements that “we believe,” “we expect,” “we anticipate” and similar statements reflect our beliefs and opinions on the relevant subject. These statements are based upon information available to us as of the date of this Annual Report and management believes that these forward-looking statements are reasonable as and when made. However, you should not place undue reliance on forward-looking statements because they speak only as of the date when made. We undertake no obligation to update or revise forward-looking statements to reflect changed assumptions, the occurrence of unanticipated events or changes to future operating results or expectations, except as required by law.</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an evolving environment. New risk factors and uncertainties may emerge from time to time, and it is not possible for us to predict all risk factors and uncertainties. We may not achieve the plans, projections or expectations disclosed in forward-looking statements, and actual results, developments or events could differ materially from those disclosed in the forward-looking statements. Forward-looking statements are subject to a number of risks and uncertainties, including without limitation, the possibility that regulatory authorities do not accept our applications or approve the marketing of our products, the possibility we may be unable to raise the funds necessary for the development and commercialization of our products, and those described in our filings with the SEC.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as fully described in Part I, Item 1A. Risk Factors in this Annual Report. The principal factors and uncertainties include, among others:</w:t>
      </w:r>
    </w:p>
    <w:p>
      <w:pPr>
        <w:spacing w:after="0" w:line="108" w:lineRule="exact"/>
        <w:rPr>
          <w:sz w:val="20"/>
          <w:szCs w:val="20"/>
          <w:color w:val="auto"/>
        </w:rPr>
      </w:pPr>
    </w:p>
    <w:p>
      <w:pPr>
        <w:jc w:val="both"/>
        <w:ind w:left="680" w:hanging="330"/>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inception, and we anticipate that we will continue to incur net losses for the foreseeable future. We require additional capital to accomplish our business plan and the failure to obtain necessary capital when needed on acceptable terms, or at all, could force us to delay, limit, reduce or terminate our operations.</w:t>
      </w:r>
    </w:p>
    <w:p>
      <w:pPr>
        <w:spacing w:after="0" w:line="94"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do not generate any revenue, we are dependent on working capital to fund our business plan, and raising additional capital may cause dilution to existing stockholders, restrict our operations or require us to relinquish rights to our technologies.</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the perception of future sales, by us or our securityholders could cause the market price of our common stock to decline.</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conditions could have a material adverse effect on our business, results of operations and financial condition and liquidity.</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scrutiny of treatments for obesity and overweight patients may impact public perception of our Company and DA-1726, or may adversely affect our ability to conduct our business and our business plans.</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make significant payments under the 2022 License Agreement.</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favorable clinical results, we may not be able to obtain regulatory approval for, or successfully commercialize DA-1241 and DA-1726.</w:t>
      </w:r>
    </w:p>
    <w:p>
      <w:pPr>
        <w:spacing w:after="0" w:line="80"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earlier clinical trials may not be predictive of the results of later-stage clinical trials.</w:t>
      </w:r>
    </w:p>
    <w:p>
      <w:pPr>
        <w:spacing w:after="0" w:line="144"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cause undesirable side effects that could delay or prevent their marketing approval, limit the commercial profile of an approved label, or result in significant negative consequences following marketing approval, if any, including marketing withdrawal.</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discover drug candidates beyond our current drug candidates may not succeed, and any drug candidates we recommend for clinical development may not actually begin clinical trials.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may lead to a delay in the submission of marketing approval applications and jeopardize our ability to potentially receive approvals and generate revenues from the sale of our products.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DA-1241 and DA-1726, and potentially future product candidates, in combination with other therapies, which exposes us to additional risks.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arrangement that we may enter into in the future may not be successful, which could adversely affect our ability to develop and commercialize our current and potential future drug candidates.</w:t>
      </w:r>
    </w:p>
    <w:p>
      <w:pPr>
        <w:spacing w:after="0" w:line="80"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retention of patients in clinical trials is an expensive and time-consuming process and could be made more difficult or rendered impossible by multiple factors outside our control, including difficulties in identifying patients with MASH and significant competition for recruiting such patients in clinical trials.</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upon attaining significant market acceptance of our product candidates, if approved, among hospitals, physicians, patients and healthcare payors.</w:t>
      </w:r>
    </w:p>
    <w:p>
      <w:pPr>
        <w:sectPr>
          <w:pgSz w:w="11900" w:h="16838" w:orient="portrait"/>
          <w:cols w:equalWidth="0" w:num="1">
            <w:col w:w="9240"/>
          </w:cols>
          <w:pgMar w:left="1320" w:top="513" w:right="1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on our liquidity, increase our expenses and present significant distractions to our management.</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product candidate that we may develop.</w:t>
      </w:r>
    </w:p>
    <w:p>
      <w:pPr>
        <w:spacing w:after="0" w:line="80"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manufacturers fail to comply with environmental, health and safety laws and regulations, we could become subject to fines or penalties or incur costs that could have an adverse effect on the success of our business.</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will continue to rely on collaborative partners regarding the development of our research programs and product candidates.</w:t>
      </w:r>
    </w:p>
    <w:p>
      <w:pPr>
        <w:spacing w:after="0" w:line="80" w:lineRule="exact"/>
        <w:rPr>
          <w:rFonts w:ascii="Times New Roman" w:cs="Times New Roman" w:eastAsia="Times New Roman" w:hAnsi="Times New Roman"/>
          <w:sz w:val="18"/>
          <w:szCs w:val="18"/>
          <w:color w:val="auto"/>
        </w:rPr>
      </w:pPr>
    </w:p>
    <w:p>
      <w:pPr>
        <w:jc w:val="both"/>
        <w:ind w:left="680" w:hanging="330"/>
        <w:spacing w:after="0" w:line="261"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85" w:lineRule="exact"/>
        <w:rPr>
          <w:rFonts w:ascii="Times New Roman" w:cs="Times New Roman" w:eastAsia="Times New Roman" w:hAnsi="Times New Roman"/>
          <w:sz w:val="18"/>
          <w:szCs w:val="18"/>
          <w:color w:val="auto"/>
        </w:rPr>
      </w:pPr>
    </w:p>
    <w:p>
      <w:pPr>
        <w:jc w:val="both"/>
        <w:ind w:left="680" w:hanging="330"/>
        <w:spacing w:after="0" w:line="261"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will rely on third-party clinical research organizations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85"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our product candidates and preclinical and clinical drug supplies.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future acquisitions, mergers or in-licenses and out-licenses of technology that could disrupt our business, cause dilution to the organization’s stockholders and harm our financial condition and operating results.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form or seek strategic alliances or enter into additional licensing arrangements in the future, and we may not realize the benefits of such alliances or licensing arrangements.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rights, our competitive position could be harmed.</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or practice our intellectual property rights throughout the world.</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intellectual property, which could be expensive, time-consuming and unsuccessful.</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are difficult to protect and if we are unable to protect the confidentiality of our trade secrets, our business and competitive position would be harmed.</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small number of employees and consultants, and our future success depends on our ability to retain our executive officers and to attract, retain and motivate qualified personnel.</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be volatile and fluctuate substantially, which could result in substantial losses for holders of our common stock.</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stockholder may use its significant interest to take actions not supported by our other stockholders.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the continued listing requirements of Nasdaq, such that our common stock may be delisted and the price of our common stock and our ability to access the capital markets could be negatively impacted.</w:t>
      </w:r>
    </w:p>
    <w:p>
      <w:pPr>
        <w:spacing w:after="0" w:line="80"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that could, if not remediated, result in material misstatements in our financial statements or impair our ability to produce accurate and timely consolidated financial statements.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suffer in the event of system failures or other unplanned events.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primarily on developing novel pharmaceuticals to treat cardiometabolic diseases. MetaVia has two programs focused primarily on the treatment of metabolic dysfunction-associated steatohepatitis (“MASH”) and obesity.</w:t>
      </w:r>
    </w:p>
    <w:p>
      <w:pPr>
        <w:spacing w:after="0" w:line="95" w:lineRule="exact"/>
        <w:rPr>
          <w:sz w:val="20"/>
          <w:szCs w:val="20"/>
          <w:color w:val="auto"/>
        </w:rPr>
      </w:pPr>
    </w:p>
    <w:p>
      <w:pPr>
        <w:jc w:val="both"/>
        <w:ind w:left="680" w:hanging="330"/>
        <w:spacing w:after="0" w:line="25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DA-1241 is a novel G-Protein-Coupled Receptor 119 (“GPR119”) agonist with development optionality as a standalone and/or combination therapy for both MASH and Type 2 Diabetes Mellitus (“T2DM”). Agonism of GPR119 in the gut promotes the release of key gut peptides, glucagon-like peptide-1 (“GLP-1”), glucose-dependent insulinotropic polypeptide (“GIP”), and peptide YY (“PYY”). These peptides play a further role in glucose metabolism, lipid metabolism and weight loss. DA-1241 has demonstrated beneficial effects on glucose, lipid profile and liver inflammation, as demonstrated during in-vivo preclinical studies. The therapeutic potential of DA-1241 has been demonstrated in multiple preclinical animal models of MASH and T2DM where DA-1241 reduced hepatic steatosis, inflammation, fibrosis, and improved glucose control.</w:t>
      </w:r>
    </w:p>
    <w:p>
      <w:pPr>
        <w:spacing w:after="0" w:line="124" w:lineRule="exact"/>
        <w:rPr>
          <w:sz w:val="20"/>
          <w:szCs w:val="20"/>
          <w:color w:val="auto"/>
        </w:rPr>
      </w:pPr>
    </w:p>
    <w:p>
      <w:pPr>
        <w:ind w:left="1320" w:hanging="322"/>
        <w:spacing w:after="0" w:line="264" w:lineRule="auto"/>
        <w:tabs>
          <w:tab w:leader="none" w:pos="132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Phase 1a and 1b human trials, DA-1241 was well tolerated in both healthy volunteers and those with T2DM.</w:t>
      </w:r>
    </w:p>
    <w:p>
      <w:pPr>
        <w:spacing w:after="0" w:line="108" w:lineRule="exact"/>
        <w:rPr>
          <w:rFonts w:ascii="Courier New" w:cs="Courier New" w:eastAsia="Courier New" w:hAnsi="Courier New"/>
          <w:sz w:val="18"/>
          <w:szCs w:val="18"/>
          <w:color w:val="auto"/>
        </w:rPr>
      </w:pPr>
    </w:p>
    <w:p>
      <w:pPr>
        <w:jc w:val="both"/>
        <w:ind w:left="1320" w:hanging="322"/>
        <w:spacing w:after="0" w:line="249" w:lineRule="auto"/>
        <w:tabs>
          <w:tab w:leader="none" w:pos="132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initiated a Phase 2a clinical trial in 2023 with the goal of establishing the mechanism of action and efficacy of DA-1241 in the treatment of MASH and to evaluate trends for T2DM. This is the first-in-human MASH trial for DA-1241. In November 2024, we completed the last patient last visit for the Phase 2a clinical trial.</w:t>
      </w:r>
    </w:p>
    <w:p>
      <w:pPr>
        <w:spacing w:after="0" w:line="110" w:lineRule="exact"/>
        <w:rPr>
          <w:rFonts w:ascii="Courier New" w:cs="Courier New" w:eastAsia="Courier New" w:hAnsi="Courier New"/>
          <w:sz w:val="18"/>
          <w:szCs w:val="18"/>
          <w:color w:val="auto"/>
        </w:rPr>
      </w:pPr>
    </w:p>
    <w:p>
      <w:pPr>
        <w:ind w:left="1320" w:hanging="322"/>
        <w:spacing w:after="0" w:line="264" w:lineRule="auto"/>
        <w:tabs>
          <w:tab w:leader="none" w:pos="132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12529"/>
        </w:rPr>
        <w:t>In December 2024, we an</w:t>
      </w:r>
      <w:r>
        <w:rPr>
          <w:rFonts w:ascii="Times New Roman" w:cs="Times New Roman" w:eastAsia="Times New Roman" w:hAnsi="Times New Roman"/>
          <w:sz w:val="18"/>
          <w:szCs w:val="18"/>
          <w:color w:val="000000"/>
        </w:rPr>
        <w:t>nounced positive top-line 16-week results from the two-part Phase 2a clinical trial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 patients with presumed MASH.</w:t>
      </w:r>
    </w:p>
    <w:p>
      <w:pPr>
        <w:spacing w:after="0" w:line="108" w:lineRule="exact"/>
        <w:rPr>
          <w:rFonts w:ascii="Courier New" w:cs="Courier New" w:eastAsia="Courier New" w:hAnsi="Courier New"/>
          <w:sz w:val="18"/>
          <w:szCs w:val="18"/>
          <w:color w:val="auto"/>
        </w:rPr>
      </w:pPr>
    </w:p>
    <w:p>
      <w:pPr>
        <w:ind w:left="1320" w:hanging="322"/>
        <w:spacing w:after="0" w:line="264" w:lineRule="auto"/>
        <w:tabs>
          <w:tab w:leader="none" w:pos="132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expecting to finalize the Clinical Study Report (“CSR”) of the Phase 2a clinical trial in the first half of 2025.</w:t>
      </w:r>
    </w:p>
    <w:p>
      <w:pPr>
        <w:spacing w:after="0" w:line="108" w:lineRule="exact"/>
        <w:rPr>
          <w:rFonts w:ascii="Courier New" w:cs="Courier New" w:eastAsia="Courier New" w:hAnsi="Courier New"/>
          <w:sz w:val="18"/>
          <w:szCs w:val="18"/>
          <w:color w:val="auto"/>
        </w:rPr>
      </w:pPr>
    </w:p>
    <w:p>
      <w:pPr>
        <w:jc w:val="both"/>
        <w:ind w:left="680" w:hanging="330"/>
        <w:spacing w:after="0" w:line="254"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DA-1726 is a novel oxyntomodulin (“OXM”) analogue functioning as a GLP-1 receptor (“GLP1R”) and glucagon receptor (“GCGR”) dual agonist for the treatment of obesity that is designed to be administered once weekly subcutaneously. With the activation of the dual agonist, weight loss may be achieved by GLP1R reducing appetite while GCGR increases energy expenditure. DA-1726 has a well understood mechanism and, in preclinical mice models, resulted in improved weight loss compared to semaglutide and tirzepatide.</w:t>
      </w:r>
    </w:p>
    <w:p>
      <w:pPr>
        <w:spacing w:after="0" w:line="106" w:lineRule="exact"/>
        <w:rPr>
          <w:rFonts w:ascii="Times New Roman" w:cs="Times New Roman" w:eastAsia="Times New Roman" w:hAnsi="Times New Roman"/>
          <w:sz w:val="18"/>
          <w:szCs w:val="18"/>
          <w:color w:val="auto"/>
        </w:rPr>
      </w:pPr>
    </w:p>
    <w:p>
      <w:pPr>
        <w:jc w:val="both"/>
        <w:ind w:left="1320" w:hanging="322"/>
        <w:spacing w:after="0" w:line="256" w:lineRule="auto"/>
        <w:tabs>
          <w:tab w:leader="none" w:pos="132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initiated a Phase 1 trial in 2024 with the goal of establishing the safety and tolerability of DA-1726 while exploring the mechanism of action and efficacy of DA-1726 in the treatment of obesity. This is the first-in-human trial for DA-1726.</w:t>
      </w:r>
    </w:p>
    <w:p>
      <w:pPr>
        <w:spacing w:after="0" w:line="118" w:lineRule="exact"/>
        <w:rPr>
          <w:rFonts w:ascii="Courier New" w:cs="Courier New" w:eastAsia="Courier New" w:hAnsi="Courier New"/>
          <w:sz w:val="18"/>
          <w:szCs w:val="18"/>
          <w:color w:val="auto"/>
        </w:rPr>
      </w:pPr>
    </w:p>
    <w:p>
      <w:pPr>
        <w:jc w:val="both"/>
        <w:ind w:left="1320" w:hanging="322"/>
        <w:spacing w:after="0" w:line="256" w:lineRule="auto"/>
        <w:tabs>
          <w:tab w:leader="none" w:pos="132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September 2024, we announced positive top-line data from the planned single ascending dose (“SAD”) Part 1 of our Phase 1 trial evaluating DA-1726 while an additional SAD study and multiple-ascending dose (“MAD”) study were ongoing.</w:t>
      </w:r>
    </w:p>
    <w:p>
      <w:pPr>
        <w:spacing w:after="0" w:line="118" w:lineRule="exact"/>
        <w:rPr>
          <w:rFonts w:ascii="Courier New" w:cs="Courier New" w:eastAsia="Courier New" w:hAnsi="Courier New"/>
          <w:sz w:val="18"/>
          <w:szCs w:val="18"/>
          <w:color w:val="auto"/>
        </w:rPr>
      </w:pPr>
    </w:p>
    <w:p>
      <w:pPr>
        <w:ind w:left="1320" w:hanging="322"/>
        <w:spacing w:after="0"/>
        <w:tabs>
          <w:tab w:leader="none" w:pos="1320" w:val="left"/>
        </w:tabs>
        <w:numPr>
          <w:ilvl w:val="1"/>
          <w:numId w:val="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We are </w:t>
      </w:r>
      <w:r>
        <w:rPr>
          <w:rFonts w:ascii="Times New Roman" w:cs="Times New Roman" w:eastAsia="Times New Roman" w:hAnsi="Times New Roman"/>
          <w:sz w:val="18"/>
          <w:szCs w:val="18"/>
          <w:color w:val="212529"/>
        </w:rPr>
        <w:t>expecting top-line results from the MAD Part 2 study of our Phase 1 trial in April 2025.</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focus our financial resources and management’s attention on the development of DA-1241 and DA-1726, we also have four legacy therapeutic programs designed to impact a range of indications in viral, neurodegenerative and cardiometabolic diseases which we are not planning to advance development on and continue to consider for out-licensing and divestiture opportunities:</w:t>
      </w:r>
    </w:p>
    <w:p>
      <w:pPr>
        <w:spacing w:after="0" w:line="99" w:lineRule="exact"/>
        <w:rPr>
          <w:sz w:val="20"/>
          <w:szCs w:val="20"/>
          <w:color w:val="auto"/>
        </w:rPr>
      </w:pPr>
    </w:p>
    <w:p>
      <w:pPr>
        <w:ind w:left="680" w:hanging="330"/>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ANA001, a proprietary oral niclosamide formulation for the treatment of patients with moderate COVID-19.</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NB-01 for the treatment for painful diabetic neuropathy (“PDN”). In July 2024, we entered into an exclusive out-license agreement with MThera Pharma Co., LTD. (“MThera”) to provide MThera with the rights to NB-01 for the treatment of painful diabetic neuropathy.</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NB-02 for the treatment of cognitive impairment.</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Gemcabene for the treatment of dyslipidemia.</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have consisted principally of performing research and development (“R&amp;D”) activities, preclinical developments, clinical trials, and raising capital. Our activities are subject to significant risks and uncertainties, including failing to secure additional funding before sustainable revenues and profit from operations are achieved and other risks listed in Part I, Item 1A. Risk Factors in this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goal is to discover and develop novel therapeutics designed to impact a range of indications primarily in cardiometabolic diseases. The key elements of our business strategy to achieve this goal include:</w:t>
      </w:r>
    </w:p>
    <w:p>
      <w:pPr>
        <w:spacing w:after="0" w:line="90" w:lineRule="exact"/>
        <w:rPr>
          <w:sz w:val="20"/>
          <w:szCs w:val="20"/>
          <w:color w:val="auto"/>
        </w:rPr>
      </w:pPr>
    </w:p>
    <w:p>
      <w:pPr>
        <w:jc w:val="both"/>
        <w:ind w:left="680" w:hanging="330"/>
        <w:spacing w:after="0" w:line="25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DA-1241 through the FDA regulatory process to obtain approval for the treatment of MASH. </w:t>
      </w:r>
      <w:r>
        <w:rPr>
          <w:rFonts w:ascii="Times New Roman" w:cs="Times New Roman" w:eastAsia="Times New Roman" w:hAnsi="Times New Roman"/>
          <w:sz w:val="18"/>
          <w:szCs w:val="18"/>
          <w:color w:val="auto"/>
        </w:rPr>
        <w:t>Successful completion of the Phase 2a trial is designed to establish the mechanism of action and an early signal of efficacy in MASH and T2DM, which will allow us to seek initiation of a Phase 2b trial as monotherapy or in combination with GLP1R or other therapeutic candidates.</w:t>
      </w:r>
    </w:p>
    <w:p>
      <w:pPr>
        <w:spacing w:after="0" w:line="98" w:lineRule="exact"/>
        <w:rPr>
          <w:rFonts w:ascii="Times New Roman" w:cs="Times New Roman" w:eastAsia="Times New Roman" w:hAnsi="Times New Roman"/>
          <w:sz w:val="18"/>
          <w:szCs w:val="18"/>
          <w:color w:val="auto"/>
        </w:rPr>
      </w:pPr>
    </w:p>
    <w:p>
      <w:pPr>
        <w:jc w:val="both"/>
        <w:ind w:left="680" w:hanging="330"/>
        <w:spacing w:after="0" w:line="26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Pursuit for DA-1241 combination therapy</w:t>
      </w:r>
      <w:r>
        <w:rPr>
          <w:rFonts w:ascii="Times New Roman" w:cs="Times New Roman" w:eastAsia="Times New Roman" w:hAnsi="Times New Roman"/>
          <w:sz w:val="18"/>
          <w:szCs w:val="18"/>
          <w:color w:val="auto"/>
        </w:rPr>
        <w:t>. The Phase 2a Part 2 trial showed DA-1241’s strong potential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monotherapy as well as the potential for combination therapy with its strong safety signals. With the successful proof of concept demonstrated in the Phase 2a trial, we plan to explore other combination therapies that can benefit from the mechanism of action of DA-1241 and to expand the target efficacy of DA-1241 for the treatment of MASH.</w:t>
      </w:r>
    </w:p>
    <w:p>
      <w:pPr>
        <w:spacing w:after="0" w:line="318" w:lineRule="exact"/>
        <w:rPr>
          <w:rFonts w:ascii="Times New Roman" w:cs="Times New Roman" w:eastAsia="Times New Roman" w:hAnsi="Times New Roman"/>
          <w:sz w:val="18"/>
          <w:szCs w:val="18"/>
          <w:color w:val="auto"/>
        </w:rPr>
      </w:pPr>
    </w:p>
    <w:p>
      <w:pPr>
        <w:jc w:val="both"/>
        <w:ind w:left="680" w:hanging="330"/>
        <w:spacing w:after="0" w:line="268"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DA-1726 through the FDA regulatory process to obtain approval for the treatment of obesity. </w:t>
      </w:r>
      <w:r>
        <w:rPr>
          <w:rFonts w:ascii="Times New Roman" w:cs="Times New Roman" w:eastAsia="Times New Roman" w:hAnsi="Times New Roman"/>
          <w:sz w:val="18"/>
          <w:szCs w:val="18"/>
          <w:color w:val="auto"/>
        </w:rPr>
        <w:t>Explore various avenues to advance DA-1726 through the FDA approval process, including seeking ways to expedite clinical trials and conducting non-clinical studies.</w:t>
      </w:r>
    </w:p>
    <w:p>
      <w:pPr>
        <w:spacing w:after="0" w:line="103" w:lineRule="exact"/>
        <w:rPr>
          <w:rFonts w:ascii="Times New Roman" w:cs="Times New Roman" w:eastAsia="Times New Roman" w:hAnsi="Times New Roman"/>
          <w:sz w:val="18"/>
          <w:szCs w:val="18"/>
          <w:color w:val="auto"/>
        </w:rPr>
      </w:pPr>
    </w:p>
    <w:p>
      <w:pPr>
        <w:jc w:val="both"/>
        <w:ind w:left="680" w:hanging="330"/>
        <w:spacing w:after="0" w:line="26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Pursue additional pipelines and/or other business opportunities</w:t>
      </w:r>
      <w:r>
        <w:rPr>
          <w:rFonts w:ascii="Times New Roman" w:cs="Times New Roman" w:eastAsia="Times New Roman" w:hAnsi="Times New Roman"/>
          <w:sz w:val="18"/>
          <w:szCs w:val="18"/>
          <w:color w:val="auto"/>
        </w:rPr>
        <w:t>. With both DA-1241 and DA-1726 in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trials, we plan to explore adding (i) clinical stage product candidates to diversify and enrich our pipeline and/or (ii) other technologies.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focus is on two cardiometabolic assets. Our lead asset DA-1241, is a GPR119 agonist, in Phase 2a trial for treatment of MASH. Our second asset is DA-1726, a GLP-1 receptor and glucagon receptor dual agonist, in Phase 1 for treatment of obesity. The following illustrates the current status of our assets as of filing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71755</wp:posOffset>
            </wp:positionV>
            <wp:extent cx="3377565"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756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DA-1241 Treatment of MASH</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DA-1241 is a potential first- in -class GPR119 agonist with therapeutic potential for MASH and T2DM that is designed to be orally administered once a day. Two Phase 1 clinical trials for the treatment of T2DM have been completed and a Phase 2a trial for the treatment of MASH is ongoing in the U.S. In November 2024, we completed the last patient last visit for Phase 2a trial</w:t>
      </w:r>
      <w:r>
        <w:rPr>
          <w:rFonts w:ascii="Times New Roman" w:cs="Times New Roman" w:eastAsia="Times New Roman" w:hAnsi="Times New Roman"/>
          <w:sz w:val="18"/>
          <w:szCs w:val="18"/>
          <w:color w:val="212529"/>
        </w:rPr>
        <w:t>. In December 2024, we an</w:t>
      </w:r>
      <w:r>
        <w:rPr>
          <w:rFonts w:ascii="Times New Roman" w:cs="Times New Roman" w:eastAsia="Times New Roman" w:hAnsi="Times New Roman"/>
          <w:sz w:val="18"/>
          <w:szCs w:val="18"/>
          <w:color w:val="auto"/>
        </w:rPr>
        <w:t>nounced positive top-line 16-week results from the two-part Phase 2a clinical trial in patients with presumed MASH. We are expecting to finalize the CSR of the Phase 2a trial in the first half of 2025.</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DA-1241 is a novel chemical drug candidate selectively activating GPR119 which has shown consistent target-related mechanisms and glucose-lowering effects from nonclinical studies in Phase 1b exploratory clinical trials in patients with T2DM in the U.S. GPR119 is known to be a regulator of both blood glucose and lipid levels. Non-clinical studies suggest DA-1241 selectively activates GPR119, stimulates the secretion of insulin and incretin hormones such as GLP-1, and thereby reduces plasma glucose levels without hypoglycemia risk and lowers plasma lipids levels of both triglycerides and cholesterol. Moreover, impaired insulin action and lipid metabolism which are frequently observed in T2DM patients are highly associated with the pathogenesis of steatosis and inflammation in MASH. Extensive non-clinical studies have</w:t>
      </w:r>
    </w:p>
    <w:p>
      <w:pPr>
        <w:sectPr>
          <w:pgSz w:w="11900" w:h="16838" w:orient="portrait"/>
          <w:cols w:equalWidth="0" w:num="1">
            <w:col w:w="9240"/>
          </w:cols>
          <w:pgMar w:left="1320" w:top="513" w:right="13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shown DA-1241 has therapeutic potential for the reduction in hepatic steatosis, inflammation, fibrosis, and improved glucose control regardless of body weight reduction.</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MASH Overview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MASH is a severe form of metabolic dysfunction-associated steatotic liver disease (“MASLD”) characterized by inflammation and fibrosis in the liver that can progress to cirrhosis, liver failure, hepatocellular carcinoma and death. MASLD was formerly known as nonalcoholic fatty liver disease (“NAFLD”) and was changed by the AASLD and its European and Latin American counterparts. Patients with MASH are at increased risk of liver damage and other complications. Fibrosis is generally reversible in its early-to-mid stages. However, late-stage fibrosis can be irreversible in the absence of therapy and prevents the liver from performing its natural functions.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prevalence of MASLD, which affects approximately 30% of the global population, and MASH, which develops in approximately 12% to 14% of MASLD patients, is growing and is driven primarily by the worldwide obesity epidemic. Over the past three decades, the global prevalence of MASLD has grown substantially from 17.6% (1990) to 23.4% (2019), with an average increase of about 1.0% annually. The critical pathophysiologic mechanisms underlying the development and progression of MASH include reduced ability to handle lipids, increased insulin resistance, injury to hepatocytes and liver fibrosis in response to hepatocyte injury. Patients with MASH frequently have other significant metabolic co-morbidities such as obesity, hyperglycemia, dyslipidemia and systemic hypertension (a constellation of which is commonly referred to as metabolic syndrome) and these further contribute to the risk of cardiovascular disease.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DA-1241 Preclinical Development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Extensive preclinical pharmacology, Absorption, Distribution, Metabolism and Excretion (“ADME”), safety and toxicology studies have been completed for DA-1241. The pharmacokinetic characteristics of DA-1241 were identified through the full set of preclinical ADME studies. The safety and toxicology studies completed were: (i) central nervous system, cardiovascular, and respiratory safety in rats and dogs; (ii) a single-dose, 4-week, 13-week and 26-week oral toxicity studies in rats; (iii) 4-week, 13-week and 39-week oral toxicity studies in dogs; (iv) pre-natal development studies in rats and rabbits; and (v) genotoxicity tests of in vitro bacterial reverse mutation, chromosome aberration, and in-vivo micronucleus.</w:t>
      </w: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Comprehensive non-clinical studies demonstrated DA-1241 distinctively activates GPR119 across species, stimulates the secretion of insulin and GLP-1, a gut peptide hormone with various metabolic benefits, from the pancreas and intestine, respectively, and thereby reduces postprandial glucose and lipid levels after single administration to mice. The postprandial hypoglycemic response by DA-1241 observed in wild type mice disappeared in GPR119-deficient mice, demonstrating target engagement. Notably, DA-1241 treatment did not cause hypoglycemia &lt; 50 mg/dl in overnight fasted mice.</w:t>
      </w:r>
    </w:p>
    <w:p>
      <w:pPr>
        <w:spacing w:after="0" w:line="3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diabetic mice with hypertriglyceridemia, chronic treatment with DA-1241 lowered fasting and non-fasting blood glucose levels, in which DA-1241 prevented pancreatic beta cell loss and preserved pancreatic function. Moreover, DA-1241 treatment decreased hepatic lipid accumulation in addition to plasma triglycerides levels at the same dose levels. When a DPP4 inhibitor was cotreated with DA-1241 to prolong the biological half-life of plasma GLP-1, plasma concentrations of active GLP-1 increased more than those due to degradation blockade with DPP4 inhibitors, and thereby potentiation of GLP-1 action further improved glucose and lipid metabolism compared to each treatment alone.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non-diabetic mouse model with pre-established dyslipidemia, DA-1241 completely reduced plasma and hepatic triglycerides to normal control levels and also decreased plasma LDL-cholesterol, independent of glycemic control. Comprehensive mechanism studies have shown that the lipid-lowering effects of DA-1241 are due in part to inhibiting lipid synthesis in the liver and interfering with dietary lipid transport in the intestine.</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regard to the MASH indication, DA-1241 has been shown to improve fatty liver in various types of mouse models with metabolic diseases. Thereafter, therapeutic potential for treating MASH has been evaluated in several MASH mice models with different pathophysiology. Among them, the STAM-MASH mouse model exhibits mild fatty liver and moderate liver inflammation/fibrosis and is rapidly chemically induced. DA-1241 improved hepatic inflammation and fibrosis, showing a decrease in MASLD activity score and relative fibrotic area of the liver compared to the vehicle-treated control. Diet-induced obesity (“DIO”)-MASH mice are chronically induced through a Western diet and are characterized by marked fatty liver and mild to moderate hepatic inflammation/fibrosis. In DIO-MASH mice, DA-1241 improved hepatic steatosis, inflammation, and fibrosis assessed by histological and biochemical methods regardless of body weight reduction. Of note, DA-1241 improved systemic inflammatory status with reduced plasma inflammatory cytokines (TNFα, IL6) and chemokines (CCL2, CXCL1, CXCL2, CXCL10) contributing to tissue damage. Therefore, DA-1241 treatment reduced the levels of plasma liver enzymes (ALT, AST), which were increased due to liver tissue</w:t>
      </w:r>
    </w:p>
    <w:p>
      <w:pPr>
        <w:sectPr>
          <w:pgSz w:w="11900" w:h="16838" w:orient="portrait"/>
          <w:cols w:equalWidth="0" w:num="1">
            <w:col w:w="9240"/>
          </w:cols>
          <w:pgMar w:left="1320" w:top="513" w:right="13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damage in DIO-MASH mice. In mice with metabolic diseases, the effects of DA-1241 on the MASH phenotypes (steatosis, inflammation, and fibrosis in the liver) are enhanced by the co-treatment with a DPP4 inhibitor compared to each treatment alone due to potentiated GLP-1 actions.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Result of Phase 1 U.S. Clinical Trial for DA-1241</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Completed Phase 1a and 1b trials in the U.S. healthy subjects. </w:t>
      </w:r>
      <w:r>
        <w:rPr>
          <w:rFonts w:ascii="Times New Roman" w:cs="Times New Roman" w:eastAsia="Times New Roman" w:hAnsi="Times New Roman"/>
          <w:sz w:val="18"/>
          <w:szCs w:val="18"/>
          <w:color w:val="auto"/>
        </w:rPr>
        <w:t>The first-in-humans Phase 1a study was a double-blind, placebo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controlled, SAD, single-center study in 60 healthy male volunteers to evaluate the safety, tolerability, pharmacokinetics (“PK”), pharmacodynamics (“PD”), and interaction effect with metformin. Each cohort was given a single oral dose of 12.5 mg, 25 mg, 50 mg, 100 mg, 200 mg, and 400 mg DA-1241 or placebo tablets. The dose level of DA-1241 for the interaction effect (“IE”) assessment of metformin on the PK of DA-1241 was 100 mg. Therefore, the IE cohort had 2 separate treatment periods. Subjects in the IE cohort received DA-1241 100 mg or placebo alone in Treatment Period 1, and DA-1241 100 mg or placebo with 500 mg metformin (IR formulation) in Treatment Period 2. DA-1241 was well tolerated over a dose range of 12.5 mg to 400 mg. There was no effect of concomitant administration of metformin on DA-1241 PK parameters.</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Phase 1b, Part 1 was a double-blind placebo-controlled, MAD, single-center study of DA-1241 in healthy subjects. Overall, 24 male subjects were blinded and randomized to receive DA-1241: 50 mg, 100 mg or 200 mg or placebo, as single daily oral doses for 28 days. Safety data reviews and dose escalation decisions between cohorts took place after all subjects of an ongoing cohort had completed procedures through day 14. All doses tested were well tolerated. There were no Serious Adverse Events (“SAEs”) and no discontinuations due to Adverse Events (“AEs”).</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Completed Phase 1b trial in the U.S. T2DM patients. </w:t>
      </w:r>
      <w:r>
        <w:rPr>
          <w:rFonts w:ascii="Times New Roman" w:cs="Times New Roman" w:eastAsia="Times New Roman" w:hAnsi="Times New Roman"/>
          <w:sz w:val="18"/>
          <w:szCs w:val="18"/>
          <w:color w:val="auto"/>
        </w:rPr>
        <w:t>The Phase 1b study was designed as a placebo and active comparator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(sitagliptin 100 mg)-controlled, double-blind, randomized, multi-center study with an objective of evaluating whether DA-1241 delivers improved glucose-lowering efficacy in 83 diabetic patients. Patients were treated with placebo, sitagliptin 100 mg or DA-1241 25 mg, 50 mg and 100 mg once daily for 8 weeks, in combination with stable doses of metformin (13~19 patients/group). In the mixed meal tolerance test to evaluate the ability to reduce postprandial glucose through GPR119 activation, the incremental AUE</w:t>
      </w:r>
      <w:r>
        <w:rPr>
          <w:rFonts w:ascii="Times New Roman" w:cs="Times New Roman" w:eastAsia="Times New Roman" w:hAnsi="Times New Roman"/>
          <w:sz w:val="13"/>
          <w:szCs w:val="13"/>
          <w:color w:val="auto"/>
        </w:rPr>
        <w:t>0-4h</w:t>
      </w:r>
      <w:r>
        <w:rPr>
          <w:rFonts w:ascii="Times New Roman" w:cs="Times New Roman" w:eastAsia="Times New Roman" w:hAnsi="Times New Roman"/>
          <w:sz w:val="18"/>
          <w:szCs w:val="18"/>
          <w:color w:val="auto"/>
        </w:rPr>
        <w:t xml:space="preserve"> of plasma glucose (“iAUE”) upon nutrient ingestion was measured and compared. Eight-week treatment of DA-1241 25 mg, 50 mg and 100 mg showed the changes of +6.3%, -2.0% and -13.8% in iAUE levels from the baseline and DA-1241 100 mg showed similar blood glucose improvement with that of sitagliptin 100 mg (-9.0%), and it outperformed placebo (+10.5%).</w:t>
      </w:r>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Exploratory P1b Study in the U.S.: Glucose-Lowering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11430</wp:posOffset>
            </wp:positionV>
            <wp:extent cx="2606040" cy="1911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Mean Change in Postprandial Glucose Excursion at Week 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parameters of glycemic variability measured with a Continuous Glucose Monitoring system and fasting plasma glucose, the glucose-lowering efficacy by DA-1241 was similar to that of sitagliptin. Moreover, the time-in-range, the percentage of how long blood glucose value is within 70~180 mg/dL, was increased by mitigating the hypoglycemia risk and duration of hyperglycemia whereas such time-in-range was reduced in the placebo group.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Single administration or 8-week repeated administration of DA-1241 increased secretion of gut peptide hormones such as GLP-1, GIP and PYY in gastrointestinal tracts after taking meals. The amount of secretion of such hormones increased in proportion to the extent of exposure to DA-1241.</w:t>
      </w:r>
    </w:p>
    <w:p>
      <w:pPr>
        <w:sectPr>
          <w:pgSz w:w="11900" w:h="16838" w:orient="portrait"/>
          <w:cols w:equalWidth="0" w:num="1">
            <w:col w:w="9240"/>
          </w:cols>
          <w:pgMar w:left="1320" w:top="513" w:right="1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Exploratory P1b Study in the U.S.: Target-related Biomarker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114300</wp:posOffset>
            </wp:positionV>
            <wp:extent cx="3300095" cy="2032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0095"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 &amp; ** P&lt;0.05 &amp; P&lt;0.01 versus corresponding baseline values; DA, DA-1241; Sita, Sitagliptin</w:t>
      </w:r>
    </w:p>
    <w:p>
      <w:pPr>
        <w:spacing w:after="0" w:line="1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Total GLP-1 Secretion during Mixed Meal Tolerance Test</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terms of safety, no clinically significant adverse events were observed following the 8-week treatment, confirming the tolerability of DA-1241, and the bodyweight showed a tendency to decrease.</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DA-1241 Phase 2a Trial</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currently finalizing the CSR on a Phase 2a trial in the U.S. </w:t>
      </w:r>
      <w:r>
        <w:rPr>
          <w:rFonts w:ascii="Times New Roman" w:cs="Times New Roman" w:eastAsia="Times New Roman" w:hAnsi="Times New Roman"/>
          <w:sz w:val="18"/>
          <w:szCs w:val="18"/>
          <w:color w:val="auto"/>
        </w:rPr>
        <w:t>MASH Phase 2a is a 16-week, multicenter, randomized,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double-blind, placebo-controlled, parallel arm clinical trial to establish safety and an early signal of efficacy in MASH as a next-generation competitive oral agent while we follow the trend for T2DM. The trial completed the last patient last visit in November 2024 and topline results were disclosed in December 2024. A total of 109 patients were randomized, while 95 patients completed the dosing. These patients were randomized into four treatment groups and dosed with: DA-1241 50 mg, DA-1241 100 mg, DA-1241 100 mg/Sitagliptin 100 mg, or Placebo in a 1:2:2:2 ratio. The primary efficacy endpoint for the study is the change from baseline in the alanine transaminase (“ALT”) levels at week 16. The secondary efficacy endpoints evaluate changes in the following at week 16 including: proportion of subjects with normalization of ALT level of &lt; 30 IU/L; relative percent change liver fat fraction from baseline; absolute change in liver fat from baseline; proportion of subjects with a 30% or more reduction in liver fat from baseline; change in aspartate transaminase (“AST”), gamma glutamyl transpeptidase, and alkaline phosphatase from baseline; change in hemoglobin A1c (“HbA1c”) (%); change in NAFLD Fibrosis Score from baseline; liver stiffness measurement assessed by FibroScan® from baseline; and change in FAST (FibroScan - AST) from baseline. Safety will be evaluated by monitoring AEs including determination of SAEs and AEs leading to discontinuation and laboratory abnormalities as characterized by type, frequency, timing, severity (mild, moderate, severe), seriousness and relationship to DA-1241, vital signs measurements, clinical laboratory tests and electrocardiogram assessments.</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Topline results from the Phase 2a Study. </w:t>
      </w:r>
      <w:r>
        <w:rPr>
          <w:rFonts w:ascii="Times New Roman" w:cs="Times New Roman" w:eastAsia="Times New Roman" w:hAnsi="Times New Roman"/>
          <w:sz w:val="18"/>
          <w:szCs w:val="18"/>
          <w:color w:val="auto"/>
        </w:rPr>
        <w:t>We have reported positive top-line 16-week results from the two-part Phase 2a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trial in patients with presumed MASH in December 2024. Part 1 of this Phase 2a trial is exploring DA-1241, a novel GPR119 agonist compared to placebo, while Part 2 is investigating the efficacy of DA-1241 in combination with sitagliptin, a DPP-4 inhibitor. An overview of the top-line 16-week results from the two-part Phase 2a clinical trial is included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Overview of the Topline Results</w:t>
      </w:r>
    </w:p>
    <w:p>
      <w:pPr>
        <w:spacing w:after="0" w:line="140" w:lineRule="exact"/>
        <w:rPr>
          <w:sz w:val="20"/>
          <w:szCs w:val="20"/>
          <w:color w:val="auto"/>
        </w:rPr>
      </w:pPr>
    </w:p>
    <w:p>
      <w:pPr>
        <w:jc w:val="both"/>
        <w:ind w:left="400" w:hanging="334"/>
        <w:spacing w:after="0" w:line="268"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Achieved primary efficacy endpoint. </w:t>
      </w:r>
      <w:r>
        <w:rPr>
          <w:rFonts w:ascii="Times New Roman" w:cs="Times New Roman" w:eastAsia="Times New Roman" w:hAnsi="Times New Roman"/>
          <w:sz w:val="18"/>
          <w:szCs w:val="18"/>
          <w:color w:val="auto"/>
        </w:rPr>
        <w:t>DA-1241 100 mg showed statistically significant reductions in ALT levels at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 and 8 (p = 0.0159 and p = 0.0342, respectively) and a near statistically significant reduction (p = 0.0506) at week 16 compared to placebo.</w:t>
      </w:r>
    </w:p>
    <w:p>
      <w:pPr>
        <w:spacing w:after="0" w:line="103" w:lineRule="exact"/>
        <w:rPr>
          <w:rFonts w:ascii="Times New Roman" w:cs="Times New Roman" w:eastAsia="Times New Roman" w:hAnsi="Times New Roman"/>
          <w:sz w:val="18"/>
          <w:szCs w:val="18"/>
          <w:color w:val="auto"/>
        </w:rPr>
      </w:pPr>
    </w:p>
    <w:p>
      <w:pPr>
        <w:ind w:left="400" w:hanging="334"/>
        <w:spacing w:after="0" w:line="286"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Normalized ALT levels in 16 weeks. </w:t>
      </w:r>
      <w:r>
        <w:rPr>
          <w:rFonts w:ascii="Times New Roman" w:cs="Times New Roman" w:eastAsia="Times New Roman" w:hAnsi="Times New Roman"/>
          <w:sz w:val="18"/>
          <w:szCs w:val="18"/>
          <w:color w:val="auto"/>
        </w:rPr>
        <w:t>DA-1241 50 mg showed a statistically significant improvement in the normalization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ALT levels compared to placebo, with an odds ratio of 10.500 (p = 0.0487).</w:t>
      </w:r>
    </w:p>
    <w:p>
      <w:pPr>
        <w:spacing w:after="0" w:line="87" w:lineRule="exact"/>
        <w:rPr>
          <w:rFonts w:ascii="Times New Roman" w:cs="Times New Roman" w:eastAsia="Times New Roman" w:hAnsi="Times New Roman"/>
          <w:sz w:val="18"/>
          <w:szCs w:val="18"/>
          <w:color w:val="auto"/>
        </w:rPr>
      </w:pPr>
    </w:p>
    <w:p>
      <w:pPr>
        <w:jc w:val="both"/>
        <w:ind w:left="400" w:hanging="334"/>
        <w:spacing w:after="0" w:line="257" w:lineRule="auto"/>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 hepatic effect shown by significant improvements in CAP score and FAST score. </w:t>
      </w:r>
      <w:r>
        <w:rPr>
          <w:rFonts w:ascii="Times New Roman" w:cs="Times New Roman" w:eastAsia="Times New Roman" w:hAnsi="Times New Roman"/>
          <w:sz w:val="18"/>
          <w:szCs w:val="18"/>
          <w:color w:val="auto"/>
        </w:rPr>
        <w:t>DA-1241 100 mg and DA-1241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mg + Sitagliptin 100 mg showed significant improvements in the CAP score compared to placebo (p=0.0308 and p=0.0452, respectively). DA-1241 100 mg in combination with Sitagliptin 100 mg showed a statistically significant reduction in the FAST score compared to placebo (p = 0.0416).</w:t>
      </w:r>
    </w:p>
    <w:p>
      <w:pPr>
        <w:sectPr>
          <w:pgSz w:w="11900" w:h="16838" w:orient="portrait"/>
          <w:cols w:equalWidth="0" w:num="1">
            <w:col w:w="9240"/>
          </w:cols>
          <w:pgMar w:left="1320" w:top="513" w:right="1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 w:right="60" w:hanging="327"/>
        <w:spacing w:after="0" w:line="268"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glycemic control with significant reduction of HbA1c in 16 weeks. </w:t>
      </w:r>
      <w:r>
        <w:rPr>
          <w:rFonts w:ascii="Times New Roman" w:cs="Times New Roman" w:eastAsia="Times New Roman" w:hAnsi="Times New Roman"/>
          <w:sz w:val="18"/>
          <w:szCs w:val="18"/>
          <w:color w:val="auto"/>
        </w:rPr>
        <w:t>DA-1241 100 mg and DA-1241 100 mg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with Sitagliptin 100 mg showed significant reductions in HbA1c from baseline at Week 16 compared to the placebo group (p = 0.0179 and p = 0.0050, respectively).</w:t>
      </w:r>
    </w:p>
    <w:p>
      <w:pPr>
        <w:spacing w:after="0" w:line="103" w:lineRule="exact"/>
        <w:rPr>
          <w:rFonts w:ascii="Times New Roman" w:cs="Times New Roman" w:eastAsia="Times New Roman" w:hAnsi="Times New Roman"/>
          <w:sz w:val="18"/>
          <w:szCs w:val="18"/>
          <w:color w:val="auto"/>
        </w:rPr>
      </w:pPr>
    </w:p>
    <w:p>
      <w:pPr>
        <w:ind w:left="380" w:right="80" w:hanging="327"/>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safety signal compared to competition. </w:t>
      </w:r>
      <w:r>
        <w:rPr>
          <w:rFonts w:ascii="Times New Roman" w:cs="Times New Roman" w:eastAsia="Times New Roman" w:hAnsi="Times New Roman"/>
          <w:sz w:val="18"/>
          <w:szCs w:val="18"/>
          <w:color w:val="auto"/>
        </w:rPr>
        <w:t>DA-1241 was shown to be very well tolerated with mostly mild AEs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drug related SAEs in the treatment groups with no treatment emergent adverse events (“TEAEs”) leading to study drug discontinuation.</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Primary Efficacy Endpoint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LS Mean ALT Changes from Baseline (U/L)</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60" w:type="dxa"/>
            <w:vAlign w:val="bottom"/>
            <w:tcBorders>
              <w:top w:val="single" w:sz="8" w:color="auto"/>
              <w:left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Placebo</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DA-1241 100 mg +</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 value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DA-1241</w:t>
            </w: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 value</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DA-1241</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 value</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Sitagliptin 100 mg</w:t>
            </w:r>
          </w:p>
        </w:tc>
        <w:tc>
          <w:tcPr>
            <w:tcW w:w="8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 mg</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vs.</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100 mg</w:t>
            </w: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(N=23)</w:t>
            </w:r>
          </w:p>
        </w:tc>
        <w:tc>
          <w:tcPr>
            <w:tcW w:w="166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vs. PBO</w:t>
            </w:r>
          </w:p>
        </w:tc>
        <w:tc>
          <w:tcPr>
            <w:tcW w:w="13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vs. PBO</w:t>
            </w: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(N=34)</w:t>
            </w:r>
          </w:p>
        </w:tc>
        <w:tc>
          <w:tcPr>
            <w:tcW w:w="8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(N=12)</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PBO</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(N=22)</w:t>
            </w: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vMerge w:val="continue"/>
          </w:tcPr>
          <w:p>
            <w:pPr>
              <w:spacing w:after="0"/>
              <w:rPr>
                <w:sz w:val="9"/>
                <w:szCs w:val="9"/>
                <w:color w:val="auto"/>
              </w:rPr>
            </w:pPr>
          </w:p>
        </w:tc>
        <w:tc>
          <w:tcPr>
            <w:tcW w:w="760" w:type="dxa"/>
            <w:vAlign w:val="bottom"/>
            <w:tcBorders>
              <w:bottom w:val="single" w:sz="8" w:color="auto"/>
              <w:right w:val="single" w:sz="8" w:color="auto"/>
            </w:tcBorders>
            <w:vMerge w:val="continue"/>
          </w:tcPr>
          <w:p>
            <w:pPr>
              <w:spacing w:after="0"/>
              <w:rPr>
                <w:sz w:val="9"/>
                <w:szCs w:val="9"/>
                <w:color w:val="auto"/>
              </w:rPr>
            </w:pPr>
          </w:p>
        </w:tc>
        <w:tc>
          <w:tcPr>
            <w:tcW w:w="1440" w:type="dxa"/>
            <w:vAlign w:val="bottom"/>
            <w:tcBorders>
              <w:bottom w:val="single" w:sz="8" w:color="auto"/>
              <w:right w:val="single" w:sz="8" w:color="auto"/>
            </w:tcBorders>
            <w:vMerge w:val="continue"/>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Baseline</w:t>
            </w: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68.4</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63.2</w:t>
            </w:r>
          </w:p>
        </w:tc>
        <w:tc>
          <w:tcPr>
            <w:tcW w:w="820" w:type="dxa"/>
            <w:vAlign w:val="bottom"/>
            <w:tcBorders>
              <w:right w:val="single" w:sz="8" w:color="auto"/>
            </w:tcBorders>
            <w:shd w:val="clear" w:color="auto" w:fill="CCEEFF"/>
          </w:tcPr>
          <w:p>
            <w:pPr>
              <w:spacing w:after="0"/>
              <w:rPr>
                <w:sz w:val="16"/>
                <w:szCs w:val="16"/>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65.8</w:t>
            </w:r>
          </w:p>
        </w:tc>
        <w:tc>
          <w:tcPr>
            <w:tcW w:w="76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57.2</w:t>
            </w:r>
          </w:p>
        </w:tc>
        <w:tc>
          <w:tcPr>
            <w:tcW w:w="8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Mean</w:t>
            </w:r>
          </w:p>
        </w:tc>
        <w:tc>
          <w:tcPr>
            <w:tcW w:w="1220" w:type="dxa"/>
            <w:vAlign w:val="bottom"/>
            <w:tcBorders>
              <w:right w:val="single" w:sz="8" w:color="auto"/>
            </w:tcBorders>
            <w:vMerge w:val="continue"/>
            <w:shd w:val="clear" w:color="auto" w:fill="CCEEFF"/>
          </w:tcPr>
          <w:p>
            <w:pPr>
              <w:spacing w:after="0"/>
              <w:rPr>
                <w:sz w:val="10"/>
                <w:szCs w:val="10"/>
                <w:color w:val="auto"/>
              </w:rPr>
            </w:pPr>
          </w:p>
        </w:tc>
        <w:tc>
          <w:tcPr>
            <w:tcW w:w="1660" w:type="dxa"/>
            <w:vAlign w:val="bottom"/>
            <w:tcBorders>
              <w:right w:val="single" w:sz="8" w:color="auto"/>
            </w:tcBorders>
            <w:vMerge w:val="continue"/>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1380" w:type="dxa"/>
            <w:vAlign w:val="bottom"/>
            <w:tcBorders>
              <w:right w:val="single" w:sz="8" w:color="auto"/>
            </w:tcBorders>
            <w:vMerge w:val="continue"/>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1440" w:type="dxa"/>
            <w:vAlign w:val="bottom"/>
            <w:tcBorders>
              <w:right w:val="single" w:sz="8" w:color="auto"/>
            </w:tcBorders>
            <w:vMerge w:val="continue"/>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1220" w:type="dxa"/>
            <w:vAlign w:val="bottom"/>
            <w:tcBorders>
              <w:bottom w:val="single" w:sz="8" w:color="auto"/>
              <w:right w:val="single" w:sz="8" w:color="auto"/>
            </w:tcBorders>
            <w:shd w:val="clear" w:color="auto" w:fill="CCEEFF"/>
          </w:tcPr>
          <w:p>
            <w:pPr>
              <w:spacing w:after="0"/>
              <w:rPr>
                <w:sz w:val="9"/>
                <w:szCs w:val="9"/>
                <w:color w:val="auto"/>
              </w:rPr>
            </w:pPr>
          </w:p>
        </w:tc>
        <w:tc>
          <w:tcPr>
            <w:tcW w:w="1660" w:type="dxa"/>
            <w:vAlign w:val="bottom"/>
            <w:tcBorders>
              <w:bottom w:val="single" w:sz="8" w:color="auto"/>
              <w:right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1380" w:type="dxa"/>
            <w:vAlign w:val="bottom"/>
            <w:tcBorders>
              <w:bottom w:val="single" w:sz="8" w:color="auto"/>
              <w:right w:val="single" w:sz="8" w:color="auto"/>
            </w:tcBorders>
            <w:shd w:val="clear" w:color="auto" w:fill="CCEEFF"/>
          </w:tcPr>
          <w:p>
            <w:pPr>
              <w:spacing w:after="0"/>
              <w:rPr>
                <w:sz w:val="9"/>
                <w:szCs w:val="9"/>
                <w:color w:val="auto"/>
              </w:rPr>
            </w:pPr>
          </w:p>
        </w:tc>
        <w:tc>
          <w:tcPr>
            <w:tcW w:w="760" w:type="dxa"/>
            <w:vAlign w:val="bottom"/>
            <w:tcBorders>
              <w:bottom w:val="single" w:sz="8" w:color="auto"/>
              <w:right w:val="single" w:sz="8" w:color="auto"/>
            </w:tcBorders>
            <w:shd w:val="clear" w:color="auto" w:fill="CCEEFF"/>
          </w:tcPr>
          <w:p>
            <w:pPr>
              <w:spacing w:after="0"/>
              <w:rPr>
                <w:sz w:val="9"/>
                <w:szCs w:val="9"/>
                <w:color w:val="auto"/>
              </w:rPr>
            </w:pPr>
          </w:p>
        </w:tc>
        <w:tc>
          <w:tcPr>
            <w:tcW w:w="1440" w:type="dxa"/>
            <w:vAlign w:val="bottom"/>
            <w:tcBorders>
              <w:bottom w:val="single" w:sz="8" w:color="auto"/>
              <w:right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Week 4 LS</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-8.38</w:t>
            </w:r>
          </w:p>
        </w:tc>
        <w:tc>
          <w:tcPr>
            <w:tcW w:w="8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-9.63</w:t>
            </w:r>
          </w:p>
        </w:tc>
        <w:tc>
          <w:tcPr>
            <w:tcW w:w="7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-13.44</w:t>
            </w: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Mean</w:t>
            </w:r>
          </w:p>
        </w:tc>
        <w:tc>
          <w:tcPr>
            <w:tcW w:w="12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0.1195</w:t>
            </w:r>
          </w:p>
        </w:tc>
        <w:tc>
          <w:tcPr>
            <w:tcW w:w="13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0.1622</w:t>
            </w:r>
          </w:p>
        </w:tc>
        <w:tc>
          <w:tcPr>
            <w:tcW w:w="14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0.0159†</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(-8.23, 5.21)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(-13.89, -2.87)*</w:t>
            </w:r>
          </w:p>
        </w:tc>
        <w:tc>
          <w:tcPr>
            <w:tcW w:w="8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(-18.90, -0.35)*</w:t>
            </w:r>
          </w:p>
        </w:tc>
        <w:tc>
          <w:tcPr>
            <w:tcW w:w="7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(-20.32, -6.57)*</w:t>
            </w: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(95% CI)</w:t>
            </w:r>
          </w:p>
        </w:tc>
        <w:tc>
          <w:tcPr>
            <w:tcW w:w="12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Week 8 LS</w:t>
            </w: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0.13</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820" w:type="dxa"/>
            <w:vAlign w:val="bottom"/>
            <w:tcBorders>
              <w:right w:val="single" w:sz="8" w:color="auto"/>
            </w:tcBorders>
            <w:shd w:val="clear" w:color="auto" w:fill="CCEEFF"/>
          </w:tcPr>
          <w:p>
            <w:pPr>
              <w:spacing w:after="0"/>
              <w:rPr>
                <w:sz w:val="16"/>
                <w:szCs w:val="16"/>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-11.05</w:t>
            </w:r>
          </w:p>
        </w:tc>
        <w:tc>
          <w:tcPr>
            <w:tcW w:w="760" w:type="dxa"/>
            <w:vAlign w:val="bottom"/>
            <w:tcBorders>
              <w:right w:val="single" w:sz="8" w:color="auto"/>
            </w:tcBorders>
            <w:shd w:val="clear" w:color="auto" w:fill="CCEEFF"/>
          </w:tcPr>
          <w:p>
            <w:pPr>
              <w:spacing w:after="0"/>
              <w:rPr>
                <w:sz w:val="16"/>
                <w:szCs w:val="16"/>
                <w:color w:val="auto"/>
              </w:rPr>
            </w:pPr>
          </w:p>
        </w:tc>
        <w:tc>
          <w:tcPr>
            <w:tcW w:w="14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-12.25</w:t>
            </w:r>
          </w:p>
        </w:tc>
        <w:tc>
          <w:tcPr>
            <w:tcW w:w="8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Mean</w:t>
            </w:r>
          </w:p>
        </w:tc>
        <w:tc>
          <w:tcPr>
            <w:tcW w:w="1220" w:type="dxa"/>
            <w:vAlign w:val="bottom"/>
            <w:tcBorders>
              <w:right w:val="single" w:sz="8" w:color="auto"/>
            </w:tcBorders>
            <w:vMerge w:val="continue"/>
            <w:shd w:val="clear" w:color="auto" w:fill="CCEEFF"/>
          </w:tcPr>
          <w:p>
            <w:pPr>
              <w:spacing w:after="0"/>
              <w:rPr>
                <w:sz w:val="9"/>
                <w:szCs w:val="9"/>
                <w:color w:val="auto"/>
              </w:rPr>
            </w:pPr>
          </w:p>
        </w:tc>
        <w:tc>
          <w:tcPr>
            <w:tcW w:w="1660" w:type="dxa"/>
            <w:vAlign w:val="bottom"/>
            <w:tcBorders>
              <w:right w:val="single" w:sz="8" w:color="auto"/>
            </w:tcBorders>
            <w:vMerge w:val="continue"/>
            <w:shd w:val="clear" w:color="auto" w:fill="CCEEFF"/>
          </w:tcPr>
          <w:p>
            <w:pPr>
              <w:spacing w:after="0"/>
              <w:rPr>
                <w:sz w:val="9"/>
                <w:szCs w:val="9"/>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0.0479†</w:t>
            </w:r>
          </w:p>
        </w:tc>
        <w:tc>
          <w:tcPr>
            <w:tcW w:w="1380" w:type="dxa"/>
            <w:vAlign w:val="bottom"/>
            <w:tcBorders>
              <w:right w:val="single" w:sz="8" w:color="auto"/>
            </w:tcBorders>
            <w:vMerge w:val="continue"/>
            <w:shd w:val="clear" w:color="auto" w:fill="CCEEFF"/>
          </w:tcPr>
          <w:p>
            <w:pPr>
              <w:spacing w:after="0"/>
              <w:rPr>
                <w:sz w:val="9"/>
                <w:szCs w:val="9"/>
                <w:color w:val="auto"/>
              </w:rPr>
            </w:pP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0.1050</w:t>
            </w:r>
          </w:p>
        </w:tc>
        <w:tc>
          <w:tcPr>
            <w:tcW w:w="1440" w:type="dxa"/>
            <w:vAlign w:val="bottom"/>
            <w:tcBorders>
              <w:right w:val="single" w:sz="8" w:color="auto"/>
            </w:tcBorders>
            <w:vMerge w:val="continue"/>
            <w:shd w:val="clear" w:color="auto" w:fill="CCEEFF"/>
          </w:tcPr>
          <w:p>
            <w:pPr>
              <w:spacing w:after="0"/>
              <w:rPr>
                <w:sz w:val="9"/>
                <w:szCs w:val="9"/>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0.0342†</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(-7.83, 8.09)</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(-16.80, -3.73)*</w:t>
            </w:r>
          </w:p>
        </w:tc>
        <w:tc>
          <w:tcPr>
            <w:tcW w:w="820" w:type="dxa"/>
            <w:vAlign w:val="bottom"/>
            <w:tcBorders>
              <w:right w:val="single" w:sz="8" w:color="auto"/>
            </w:tcBorders>
            <w:vMerge w:val="continue"/>
            <w:shd w:val="clear" w:color="auto" w:fill="CCEEFF"/>
          </w:tcPr>
          <w:p>
            <w:pPr>
              <w:spacing w:after="0"/>
              <w:rPr>
                <w:sz w:val="9"/>
                <w:szCs w:val="9"/>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(-22.04, -0.05)*</w:t>
            </w:r>
          </w:p>
        </w:tc>
        <w:tc>
          <w:tcPr>
            <w:tcW w:w="760" w:type="dxa"/>
            <w:vAlign w:val="bottom"/>
            <w:tcBorders>
              <w:right w:val="single" w:sz="8" w:color="auto"/>
            </w:tcBorders>
            <w:vMerge w:val="continue"/>
            <w:shd w:val="clear" w:color="auto" w:fill="CCEEFF"/>
          </w:tcPr>
          <w:p>
            <w:pPr>
              <w:spacing w:after="0"/>
              <w:rPr>
                <w:sz w:val="9"/>
                <w:szCs w:val="9"/>
                <w:color w:val="auto"/>
              </w:rPr>
            </w:pPr>
          </w:p>
        </w:tc>
        <w:tc>
          <w:tcPr>
            <w:tcW w:w="14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(-20.40, -4.10)*</w:t>
            </w:r>
          </w:p>
        </w:tc>
        <w:tc>
          <w:tcPr>
            <w:tcW w:w="82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 CI)</w:t>
            </w:r>
          </w:p>
        </w:tc>
        <w:tc>
          <w:tcPr>
            <w:tcW w:w="1220" w:type="dxa"/>
            <w:vAlign w:val="bottom"/>
            <w:tcBorders>
              <w:right w:val="single" w:sz="8" w:color="auto"/>
            </w:tcBorders>
            <w:vMerge w:val="continue"/>
            <w:shd w:val="clear" w:color="auto" w:fill="CCEEFF"/>
          </w:tcPr>
          <w:p>
            <w:pPr>
              <w:spacing w:after="0"/>
              <w:rPr>
                <w:sz w:val="10"/>
                <w:szCs w:val="10"/>
                <w:color w:val="auto"/>
              </w:rPr>
            </w:pPr>
          </w:p>
        </w:tc>
        <w:tc>
          <w:tcPr>
            <w:tcW w:w="1660" w:type="dxa"/>
            <w:vAlign w:val="bottom"/>
            <w:tcBorders>
              <w:right w:val="single" w:sz="8" w:color="auto"/>
            </w:tcBorders>
            <w:vMerge w:val="continue"/>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1380" w:type="dxa"/>
            <w:vAlign w:val="bottom"/>
            <w:tcBorders>
              <w:right w:val="single" w:sz="8" w:color="auto"/>
            </w:tcBorders>
            <w:vMerge w:val="continue"/>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1440" w:type="dxa"/>
            <w:vAlign w:val="bottom"/>
            <w:tcBorders>
              <w:right w:val="single" w:sz="8" w:color="auto"/>
            </w:tcBorders>
            <w:vMerge w:val="continue"/>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1220" w:type="dxa"/>
            <w:vAlign w:val="bottom"/>
            <w:tcBorders>
              <w:bottom w:val="single" w:sz="8" w:color="auto"/>
              <w:right w:val="single" w:sz="8" w:color="auto"/>
            </w:tcBorders>
            <w:shd w:val="clear" w:color="auto" w:fill="CCEEFF"/>
          </w:tcPr>
          <w:p>
            <w:pPr>
              <w:spacing w:after="0"/>
              <w:rPr>
                <w:sz w:val="9"/>
                <w:szCs w:val="9"/>
                <w:color w:val="auto"/>
              </w:rPr>
            </w:pPr>
          </w:p>
        </w:tc>
        <w:tc>
          <w:tcPr>
            <w:tcW w:w="1660" w:type="dxa"/>
            <w:vAlign w:val="bottom"/>
            <w:tcBorders>
              <w:bottom w:val="single" w:sz="8" w:color="auto"/>
              <w:right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1380" w:type="dxa"/>
            <w:vAlign w:val="bottom"/>
            <w:tcBorders>
              <w:bottom w:val="single" w:sz="8" w:color="auto"/>
              <w:right w:val="single" w:sz="8" w:color="auto"/>
            </w:tcBorders>
            <w:shd w:val="clear" w:color="auto" w:fill="CCEEFF"/>
          </w:tcPr>
          <w:p>
            <w:pPr>
              <w:spacing w:after="0"/>
              <w:rPr>
                <w:sz w:val="9"/>
                <w:szCs w:val="9"/>
                <w:color w:val="auto"/>
              </w:rPr>
            </w:pPr>
          </w:p>
        </w:tc>
        <w:tc>
          <w:tcPr>
            <w:tcW w:w="760" w:type="dxa"/>
            <w:vAlign w:val="bottom"/>
            <w:tcBorders>
              <w:bottom w:val="single" w:sz="8" w:color="auto"/>
              <w:right w:val="single" w:sz="8" w:color="auto"/>
            </w:tcBorders>
            <w:shd w:val="clear" w:color="auto" w:fill="CCEEFF"/>
          </w:tcPr>
          <w:p>
            <w:pPr>
              <w:spacing w:after="0"/>
              <w:rPr>
                <w:sz w:val="9"/>
                <w:szCs w:val="9"/>
                <w:color w:val="auto"/>
              </w:rPr>
            </w:pPr>
          </w:p>
        </w:tc>
        <w:tc>
          <w:tcPr>
            <w:tcW w:w="1440" w:type="dxa"/>
            <w:vAlign w:val="bottom"/>
            <w:tcBorders>
              <w:bottom w:val="single" w:sz="8" w:color="auto"/>
              <w:right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Week 16 LS</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-4.70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-8.24</w:t>
            </w:r>
          </w:p>
        </w:tc>
        <w:tc>
          <w:tcPr>
            <w:tcW w:w="8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-16.81</w:t>
            </w:r>
          </w:p>
        </w:tc>
        <w:tc>
          <w:tcPr>
            <w:tcW w:w="76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-18.09</w:t>
            </w: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Mean</w:t>
            </w:r>
          </w:p>
        </w:tc>
        <w:tc>
          <w:tcPr>
            <w:tcW w:w="12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0.5624</w:t>
            </w:r>
          </w:p>
        </w:tc>
        <w:tc>
          <w:tcPr>
            <w:tcW w:w="13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0.1345</w:t>
            </w:r>
          </w:p>
        </w:tc>
        <w:tc>
          <w:tcPr>
            <w:tcW w:w="144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0.0506</w:t>
            </w: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(-14.05, 4.65)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(-15.91, -0.57)*</w:t>
            </w:r>
          </w:p>
        </w:tc>
        <w:tc>
          <w:tcPr>
            <w:tcW w:w="82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(-29.72, -3.89)*</w:t>
            </w:r>
          </w:p>
        </w:tc>
        <w:tc>
          <w:tcPr>
            <w:tcW w:w="7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(-27.67, -8.52)*</w:t>
            </w: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(95% CI)</w:t>
            </w:r>
          </w:p>
        </w:tc>
        <w:tc>
          <w:tcPr>
            <w:tcW w:w="12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0" w:hanging="117"/>
        <w:spacing w:after="0"/>
        <w:tabs>
          <w:tab w:leader="none" w:pos="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Confidence interval excludes 0, suggesting a statistically meaningful difference.</w:t>
      </w:r>
    </w:p>
    <w:p>
      <w:pPr>
        <w:spacing w:after="0" w:line="27"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 &lt; 0.05 vs. placebo</w:t>
      </w:r>
      <w:r>
        <w:rPr>
          <w:rFonts w:ascii="Times New Roman" w:cs="Times New Roman" w:eastAsia="Times New Roman" w:hAnsi="Times New Roman"/>
          <w:sz w:val="14"/>
          <w:szCs w:val="14"/>
          <w:u w:val="single" w:color="auto"/>
          <w:color w:val="auto"/>
        </w:rPr>
        <w:t>LS Mean ALT Changes from Baseline (U/L)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101600</wp:posOffset>
            </wp:positionV>
            <wp:extent cx="5760720" cy="3154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60"/>
          </w:cols>
          <w:pgMar w:left="1320" w:top="513" w:right="131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Notable Secondary Endpoints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Proportion of Subjects with Normalized ALT &lt;30 IU/L at Week 16</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42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 w:type="dxa"/>
            <w:vAlign w:val="bottom"/>
            <w:tcBorders>
              <w:righ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Placebo</w:t>
            </w:r>
          </w:p>
        </w:tc>
        <w:tc>
          <w:tcPr>
            <w:tcW w:w="52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5"/>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8"/>
              </w:rPr>
              <w:t>DA-1241 100 mg +</w:t>
            </w:r>
          </w:p>
        </w:tc>
        <w:tc>
          <w:tcPr>
            <w:tcW w:w="120" w:type="dxa"/>
            <w:vAlign w:val="bottom"/>
          </w:tcPr>
          <w:p>
            <w:pPr>
              <w:spacing w:after="0"/>
              <w:rPr>
                <w:sz w:val="16"/>
                <w:szCs w:val="16"/>
                <w:color w:val="auto"/>
              </w:rPr>
            </w:pPr>
          </w:p>
        </w:tc>
        <w:tc>
          <w:tcPr>
            <w:tcW w:w="132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DA-1241</w:t>
            </w:r>
          </w:p>
        </w:tc>
        <w:tc>
          <w:tcPr>
            <w:tcW w:w="2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9"/>
              </w:rPr>
              <w:t>DA-1241</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right w:val="single" w:sz="8" w:color="auto"/>
            </w:tcBorders>
          </w:tcPr>
          <w:p>
            <w:pPr>
              <w:spacing w:after="0"/>
              <w:rPr>
                <w:sz w:val="9"/>
                <w:szCs w:val="9"/>
                <w:color w:val="auto"/>
              </w:rPr>
            </w:pPr>
          </w:p>
        </w:tc>
        <w:tc>
          <w:tcPr>
            <w:tcW w:w="1740" w:type="dxa"/>
            <w:vAlign w:val="bottom"/>
            <w:gridSpan w:val="2"/>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Number of Subjects, n</w:t>
            </w:r>
          </w:p>
        </w:tc>
        <w:tc>
          <w:tcPr>
            <w:tcW w:w="14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vMerge w:val="restart"/>
          </w:tcPr>
          <w:p>
            <w:pPr>
              <w:jc w:val="center"/>
              <w:ind w:right="40"/>
              <w:spacing w:after="0" w:line="202" w:lineRule="exact"/>
              <w:rPr>
                <w:sz w:val="20"/>
                <w:szCs w:val="20"/>
                <w:color w:val="auto"/>
              </w:rPr>
            </w:pPr>
            <w:r>
              <w:rPr>
                <w:rFonts w:ascii="Times New Roman" w:cs="Times New Roman" w:eastAsia="Times New Roman" w:hAnsi="Times New Roman"/>
                <w:sz w:val="18"/>
                <w:szCs w:val="18"/>
                <w:color w:val="auto"/>
                <w:w w:val="99"/>
              </w:rPr>
              <w:t>Sitagliptin 100 mg</w:t>
            </w:r>
          </w:p>
        </w:tc>
        <w:tc>
          <w:tcPr>
            <w:tcW w:w="120" w:type="dxa"/>
            <w:vAlign w:val="bottom"/>
          </w:tcPr>
          <w:p>
            <w:pPr>
              <w:spacing w:after="0"/>
              <w:rPr>
                <w:sz w:val="9"/>
                <w:szCs w:val="9"/>
                <w:color w:val="auto"/>
              </w:rPr>
            </w:pPr>
          </w:p>
        </w:tc>
        <w:tc>
          <w:tcPr>
            <w:tcW w:w="1320" w:type="dxa"/>
            <w:vAlign w:val="bottom"/>
            <w:vMerge w:val="restart"/>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w w:val="96"/>
              </w:rPr>
              <w:t>50 mg</w:t>
            </w:r>
          </w:p>
        </w:tc>
        <w:tc>
          <w:tcPr>
            <w:tcW w:w="2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vMerge w:val="restart"/>
          </w:tcPr>
          <w:p>
            <w:pPr>
              <w:jc w:val="center"/>
              <w:ind w:right="490"/>
              <w:spacing w:after="0" w:line="202" w:lineRule="exact"/>
              <w:rPr>
                <w:sz w:val="20"/>
                <w:szCs w:val="20"/>
                <w:color w:val="auto"/>
              </w:rPr>
            </w:pPr>
            <w:r>
              <w:rPr>
                <w:rFonts w:ascii="Times New Roman" w:cs="Times New Roman" w:eastAsia="Times New Roman" w:hAnsi="Times New Roman"/>
                <w:sz w:val="18"/>
                <w:szCs w:val="18"/>
                <w:color w:val="auto"/>
                <w:w w:val="98"/>
              </w:rPr>
              <w:t>100 mg</w:t>
            </w: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60" w:type="dxa"/>
            <w:vAlign w:val="bottom"/>
            <w:tcBorders>
              <w:right w:val="single" w:sz="8" w:color="auto"/>
            </w:tcBorders>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(N=23)</w:t>
            </w:r>
          </w:p>
        </w:tc>
        <w:tc>
          <w:tcPr>
            <w:tcW w:w="5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0" w:type="dxa"/>
            <w:vAlign w:val="bottom"/>
            <w:tcBorders>
              <w:right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(N=34)</w:t>
            </w:r>
          </w:p>
        </w:tc>
        <w:tc>
          <w:tcPr>
            <w:tcW w:w="120" w:type="dxa"/>
            <w:vAlign w:val="bottom"/>
          </w:tcPr>
          <w:p>
            <w:pPr>
              <w:spacing w:after="0"/>
              <w:rPr>
                <w:sz w:val="12"/>
                <w:szCs w:val="12"/>
                <w:color w:val="auto"/>
              </w:rPr>
            </w:pPr>
          </w:p>
        </w:tc>
        <w:tc>
          <w:tcPr>
            <w:tcW w:w="132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(N=12)</w:t>
            </w:r>
          </w:p>
        </w:tc>
        <w:tc>
          <w:tcPr>
            <w:tcW w:w="2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(N=22)</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60" w:type="dxa"/>
            <w:vAlign w:val="bottom"/>
            <w:tcBorders>
              <w:right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gridSpan w:val="5"/>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Borders>
              <w:right w:val="single" w:sz="8" w:color="auto"/>
            </w:tcBorders>
          </w:tcPr>
          <w:p>
            <w:pPr>
              <w:spacing w:after="0"/>
              <w:rPr>
                <w:sz w:val="18"/>
                <w:szCs w:val="18"/>
                <w:color w:val="auto"/>
              </w:rPr>
            </w:pPr>
          </w:p>
        </w:tc>
        <w:tc>
          <w:tcPr>
            <w:tcW w:w="142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&lt; 30, n (%)</w:t>
            </w: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right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(4.3%)</w:t>
            </w: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3 (8.8%)</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CCEEFF"/>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 (33.3%)</w:t>
            </w:r>
          </w:p>
        </w:tc>
        <w:tc>
          <w:tcPr>
            <w:tcW w:w="260" w:type="dxa"/>
            <w:vAlign w:val="bottom"/>
            <w:tcBorders>
              <w:bottom w:val="single" w:sz="8" w:color="auto"/>
              <w:right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4 (18.2%)</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0" w:type="dxa"/>
            <w:vAlign w:val="bottom"/>
            <w:tcBorders>
              <w:right w:val="single" w:sz="8" w:color="auto"/>
            </w:tcBorders>
          </w:tcPr>
          <w:p>
            <w:pPr>
              <w:spacing w:after="0"/>
              <w:rPr>
                <w:sz w:val="16"/>
                <w:szCs w:val="16"/>
                <w:color w:val="auto"/>
              </w:rPr>
            </w:pPr>
          </w:p>
        </w:tc>
        <w:tc>
          <w:tcPr>
            <w:tcW w:w="14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Odds Ratio</w:t>
            </w:r>
          </w:p>
        </w:tc>
        <w:tc>
          <w:tcPr>
            <w:tcW w:w="3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040" w:type="dxa"/>
            <w:vAlign w:val="bottom"/>
            <w:gridSpan w:val="2"/>
          </w:tcPr>
          <w:p>
            <w:pPr>
              <w:jc w:val="center"/>
              <w:ind w:left="510"/>
              <w:spacing w:after="0" w:line="191" w:lineRule="exact"/>
              <w:rPr>
                <w:sz w:val="20"/>
                <w:szCs w:val="20"/>
                <w:color w:val="auto"/>
              </w:rPr>
            </w:pPr>
            <w:r>
              <w:rPr>
                <w:rFonts w:ascii="Times New Roman" w:cs="Times New Roman" w:eastAsia="Times New Roman" w:hAnsi="Times New Roman"/>
                <w:sz w:val="18"/>
                <w:szCs w:val="18"/>
                <w:color w:val="auto"/>
                <w:w w:val="98"/>
              </w:rPr>
              <w:t>2.423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10.500†</w:t>
            </w:r>
          </w:p>
        </w:tc>
        <w:tc>
          <w:tcPr>
            <w:tcW w:w="2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Borders>
              <w:right w:val="single" w:sz="8" w:color="auto"/>
            </w:tcBorders>
            <w:gridSpan w:val="2"/>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5.600</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Borders>
              <w:right w:val="single" w:sz="8" w:color="auto"/>
            </w:tcBorders>
          </w:tcPr>
          <w:p>
            <w:pPr>
              <w:spacing w:after="0"/>
              <w:rPr>
                <w:sz w:val="20"/>
                <w:szCs w:val="20"/>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 value)</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7"/>
              </w:rPr>
              <w:t>(0.4576)</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(0.0487)†</w:t>
            </w:r>
          </w:p>
        </w:tc>
        <w:tc>
          <w:tcPr>
            <w:tcW w:w="26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rPr>
              <w:t>(0.1402)</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p &lt; 0.05 vs. placebo</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260" w:type="dxa"/>
            <w:vAlign w:val="bottom"/>
          </w:tcPr>
          <w:p>
            <w:pPr>
              <w:spacing w:after="0"/>
              <w:rPr>
                <w:sz w:val="24"/>
                <w:szCs w:val="24"/>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LS Mean CAP, VCTE, FAST score Changes from Baseline at Week 16</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60" w:type="dxa"/>
            <w:vAlign w:val="bottom"/>
            <w:tcBorders>
              <w:bottom w:val="single" w:sz="8" w:color="auto"/>
            </w:tcBorders>
          </w:tcPr>
          <w:p>
            <w:pPr>
              <w:spacing w:after="0"/>
              <w:rPr>
                <w:sz w:val="5"/>
                <w:szCs w:val="5"/>
                <w:color w:val="auto"/>
              </w:rPr>
            </w:pPr>
          </w:p>
        </w:tc>
        <w:tc>
          <w:tcPr>
            <w:tcW w:w="1420" w:type="dxa"/>
            <w:vAlign w:val="bottom"/>
            <w:tcBorders>
              <w:top w:val="single" w:sz="8" w:color="auto"/>
              <w:bottom w:val="single" w:sz="8" w:color="auto"/>
            </w:tcBorders>
          </w:tcPr>
          <w:p>
            <w:pPr>
              <w:spacing w:after="0"/>
              <w:rPr>
                <w:sz w:val="5"/>
                <w:szCs w:val="5"/>
                <w:color w:val="auto"/>
              </w:rPr>
            </w:pPr>
          </w:p>
        </w:tc>
        <w:tc>
          <w:tcPr>
            <w:tcW w:w="3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480" w:type="dxa"/>
            <w:vAlign w:val="bottom"/>
            <w:tcBorders>
              <w:top w:val="single" w:sz="8" w:color="auto"/>
              <w:bottom w:val="single" w:sz="8" w:color="auto"/>
            </w:tcBorders>
          </w:tcPr>
          <w:p>
            <w:pPr>
              <w:spacing w:after="0"/>
              <w:rPr>
                <w:sz w:val="5"/>
                <w:szCs w:val="5"/>
                <w:color w:val="auto"/>
              </w:rPr>
            </w:pPr>
          </w:p>
        </w:tc>
        <w:tc>
          <w:tcPr>
            <w:tcW w:w="380" w:type="dxa"/>
            <w:vAlign w:val="bottom"/>
            <w:tcBorders>
              <w:top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520" w:type="dxa"/>
            <w:vAlign w:val="bottom"/>
            <w:tcBorders>
              <w:top w:val="single" w:sz="8" w:color="auto"/>
              <w:bottom w:val="single" w:sz="8" w:color="auto"/>
            </w:tcBorders>
          </w:tcPr>
          <w:p>
            <w:pPr>
              <w:spacing w:after="0"/>
              <w:rPr>
                <w:sz w:val="5"/>
                <w:szCs w:val="5"/>
                <w:color w:val="auto"/>
              </w:rPr>
            </w:pPr>
          </w:p>
        </w:tc>
        <w:tc>
          <w:tcPr>
            <w:tcW w:w="9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6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8"/>
              </w:rPr>
              <w:t>Placebo</w:t>
            </w:r>
          </w:p>
        </w:tc>
        <w:tc>
          <w:tcPr>
            <w:tcW w:w="38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color w:val="auto"/>
              </w:rPr>
              <w:t>DA-1241 100 mg +</w:t>
            </w:r>
          </w:p>
        </w:tc>
        <w:tc>
          <w:tcPr>
            <w:tcW w:w="120" w:type="dxa"/>
            <w:vAlign w:val="bottom"/>
          </w:tcPr>
          <w:p>
            <w:pPr>
              <w:spacing w:after="0"/>
              <w:rPr>
                <w:sz w:val="15"/>
                <w:szCs w:val="15"/>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P value</w:t>
            </w:r>
          </w:p>
        </w:tc>
        <w:tc>
          <w:tcPr>
            <w:tcW w:w="1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DA-1241</w:t>
            </w:r>
          </w:p>
        </w:tc>
        <w:tc>
          <w:tcPr>
            <w:tcW w:w="700" w:type="dxa"/>
            <w:vAlign w:val="bottom"/>
            <w:gridSpan w:val="2"/>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7"/>
              </w:rPr>
              <w:t>P value</w:t>
            </w:r>
          </w:p>
        </w:tc>
        <w:tc>
          <w:tcPr>
            <w:tcW w:w="1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gridSpan w:val="2"/>
          </w:tcPr>
          <w:p>
            <w:pPr>
              <w:jc w:val="center"/>
              <w:ind w:right="20"/>
              <w:spacing w:after="0" w:line="177" w:lineRule="exact"/>
              <w:rPr>
                <w:sz w:val="20"/>
                <w:szCs w:val="20"/>
                <w:color w:val="auto"/>
              </w:rPr>
            </w:pPr>
            <w:r>
              <w:rPr>
                <w:rFonts w:ascii="Times New Roman" w:cs="Times New Roman" w:eastAsia="Times New Roman" w:hAnsi="Times New Roman"/>
                <w:sz w:val="18"/>
                <w:szCs w:val="18"/>
                <w:color w:val="auto"/>
                <w:w w:val="99"/>
              </w:rPr>
              <w:t>DA-1241</w:t>
            </w: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 value</w:t>
            </w: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Sitagliptin 100 mg</w:t>
            </w:r>
          </w:p>
        </w:tc>
        <w:tc>
          <w:tcPr>
            <w:tcW w:w="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 mg</w:t>
            </w:r>
          </w:p>
        </w:tc>
        <w:tc>
          <w:tcPr>
            <w:tcW w:w="260" w:type="dxa"/>
            <w:vAlign w:val="bottom"/>
          </w:tcPr>
          <w:p>
            <w:pPr>
              <w:spacing w:after="0"/>
              <w:rPr>
                <w:sz w:val="9"/>
                <w:szCs w:val="9"/>
                <w:color w:val="auto"/>
              </w:rPr>
            </w:pPr>
          </w:p>
        </w:tc>
        <w:tc>
          <w:tcPr>
            <w:tcW w:w="4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vs.</w:t>
            </w:r>
          </w:p>
        </w:tc>
        <w:tc>
          <w:tcPr>
            <w:tcW w:w="1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100 mg</w:t>
            </w: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(N=23)</w:t>
            </w:r>
          </w:p>
        </w:tc>
        <w:tc>
          <w:tcPr>
            <w:tcW w:w="3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vs. PBO</w:t>
            </w: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vs. PBO</w:t>
            </w: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7"/>
              </w:rPr>
              <w:t>(N=34)</w:t>
            </w:r>
          </w:p>
        </w:tc>
        <w:tc>
          <w:tcPr>
            <w:tcW w:w="12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(N=12)</w:t>
            </w:r>
          </w:p>
        </w:tc>
        <w:tc>
          <w:tcPr>
            <w:tcW w:w="7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PBO</w:t>
            </w:r>
          </w:p>
        </w:tc>
        <w:tc>
          <w:tcPr>
            <w:tcW w:w="1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(N=22)</w:t>
            </w: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 w:type="dxa"/>
            <w:vAlign w:val="bottom"/>
            <w:tcBorders>
              <w:left w:val="single" w:sz="8" w:color="auto"/>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gridSpan w:val="2"/>
            <w:vMerge w:val="continue"/>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60" w:type="dxa"/>
            <w:vAlign w:val="bottom"/>
            <w:tcBorders>
              <w:left w:val="single" w:sz="8" w:color="auto"/>
              <w:right w:val="single" w:sz="8" w:color="CCEEFF"/>
            </w:tcBorders>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jc w:val="center"/>
              <w:ind w:right="191"/>
              <w:spacing w:after="0" w:line="184" w:lineRule="exact"/>
              <w:rPr>
                <w:sz w:val="20"/>
                <w:szCs w:val="20"/>
                <w:color w:val="auto"/>
              </w:rPr>
            </w:pPr>
            <w:r>
              <w:rPr>
                <w:rFonts w:ascii="Times New Roman" w:cs="Times New Roman" w:eastAsia="Times New Roman" w:hAnsi="Times New Roman"/>
                <w:sz w:val="18"/>
                <w:szCs w:val="18"/>
                <w:color w:val="auto"/>
                <w:w w:val="98"/>
              </w:rPr>
              <w:t>Baseline Mean</w:t>
            </w:r>
          </w:p>
        </w:tc>
        <w:tc>
          <w:tcPr>
            <w:tcW w:w="32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347.4</w:t>
            </w:r>
          </w:p>
        </w:tc>
        <w:tc>
          <w:tcPr>
            <w:tcW w:w="38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vMerge w:val="restart"/>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344.1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347.3</w:t>
            </w:r>
          </w:p>
        </w:tc>
        <w:tc>
          <w:tcPr>
            <w:tcW w:w="26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CCEEFF"/>
            </w:tcBorders>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336.0</w:t>
            </w:r>
          </w:p>
        </w:tc>
        <w:tc>
          <w:tcPr>
            <w:tcW w:w="38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0" w:type="dxa"/>
            <w:vAlign w:val="bottom"/>
            <w:tcBorders>
              <w:left w:val="single" w:sz="8" w:color="auto"/>
              <w:right w:val="single" w:sz="8" w:color="CCEEFF"/>
            </w:tcBorders>
            <w:shd w:val="clear" w:color="auto" w:fill="CCEEFF"/>
          </w:tcPr>
          <w:p>
            <w:pPr>
              <w:spacing w:after="0"/>
              <w:rPr>
                <w:sz w:val="12"/>
                <w:szCs w:val="12"/>
                <w:color w:val="auto"/>
              </w:rPr>
            </w:pPr>
          </w:p>
        </w:tc>
        <w:tc>
          <w:tcPr>
            <w:tcW w:w="1420" w:type="dxa"/>
            <w:vAlign w:val="bottom"/>
            <w:tcBorders>
              <w:right w:val="single" w:sz="8" w:color="auto"/>
            </w:tcBorders>
            <w:vMerge w:val="restart"/>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color w:val="auto"/>
                <w:w w:val="99"/>
              </w:rPr>
              <w:t>(dB/m)</w:t>
            </w:r>
          </w:p>
        </w:tc>
        <w:tc>
          <w:tcPr>
            <w:tcW w:w="3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tcBorders>
              <w:right w:val="single" w:sz="8" w:color="auto"/>
            </w:tcBorders>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continue"/>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CCEEFF"/>
            </w:tcBorders>
            <w:vMerge w:val="continue"/>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0" w:type="dxa"/>
            <w:vAlign w:val="bottom"/>
            <w:tcBorders>
              <w:left w:val="single" w:sz="8" w:color="auto"/>
              <w:bottom w:val="single" w:sz="8" w:color="auto"/>
              <w:right w:val="single" w:sz="8" w:color="CCEEFF"/>
            </w:tcBorders>
            <w:shd w:val="clear" w:color="auto" w:fill="CCEEFF"/>
          </w:tcPr>
          <w:p>
            <w:pPr>
              <w:spacing w:after="0"/>
              <w:rPr>
                <w:sz w:val="8"/>
                <w:szCs w:val="8"/>
                <w:color w:val="auto"/>
              </w:rPr>
            </w:pPr>
          </w:p>
        </w:tc>
        <w:tc>
          <w:tcPr>
            <w:tcW w:w="14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right w:val="single" w:sz="8" w:color="CCEEFF"/>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right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right w:val="single" w:sz="8" w:color="CCEEFF"/>
            </w:tcBorders>
            <w:shd w:val="clear" w:color="auto" w:fill="CCEEFF"/>
          </w:tcPr>
          <w:p>
            <w:pPr>
              <w:spacing w:after="0"/>
              <w:rPr>
                <w:sz w:val="8"/>
                <w:szCs w:val="8"/>
                <w:color w:val="auto"/>
              </w:rPr>
            </w:pPr>
          </w:p>
        </w:tc>
        <w:tc>
          <w:tcPr>
            <w:tcW w:w="920" w:type="dxa"/>
            <w:vAlign w:val="bottom"/>
            <w:tcBorders>
              <w:bottom w:val="single" w:sz="8" w:color="auto"/>
              <w:right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right w:val="single" w:sz="8" w:color="CCEEFF"/>
            </w:tcBorders>
            <w:shd w:val="clear" w:color="auto" w:fill="CCEEFF"/>
          </w:tcPr>
          <w:p>
            <w:pPr>
              <w:spacing w:after="0"/>
              <w:rPr>
                <w:sz w:val="8"/>
                <w:szCs w:val="8"/>
                <w:color w:val="auto"/>
              </w:rPr>
            </w:pPr>
          </w:p>
        </w:tc>
        <w:tc>
          <w:tcPr>
            <w:tcW w:w="120" w:type="dxa"/>
            <w:vAlign w:val="bottom"/>
            <w:tcBorders>
              <w:bottom w:val="single" w:sz="8" w:color="auto"/>
              <w:right w:val="single" w:sz="8" w:color="auto"/>
            </w:tcBorders>
            <w:shd w:val="clear" w:color="auto" w:fill="CCEEFF"/>
          </w:tcPr>
          <w:p>
            <w:pPr>
              <w:spacing w:after="0"/>
              <w:rPr>
                <w:sz w:val="8"/>
                <w:szCs w:val="8"/>
                <w:color w:val="auto"/>
              </w:rPr>
            </w:pPr>
          </w:p>
        </w:tc>
        <w:tc>
          <w:tcPr>
            <w:tcW w:w="1320" w:type="dxa"/>
            <w:vAlign w:val="bottom"/>
            <w:tcBorders>
              <w:bottom w:val="single" w:sz="8" w:color="auto"/>
              <w:right w:val="single" w:sz="8" w:color="auto"/>
            </w:tcBorders>
            <w:shd w:val="clear" w:color="auto" w:fill="CCEEFF"/>
          </w:tcPr>
          <w:p>
            <w:pPr>
              <w:spacing w:after="0"/>
              <w:rPr>
                <w:sz w:val="8"/>
                <w:szCs w:val="8"/>
                <w:color w:val="auto"/>
              </w:rPr>
            </w:pPr>
          </w:p>
        </w:tc>
        <w:tc>
          <w:tcPr>
            <w:tcW w:w="260" w:type="dxa"/>
            <w:vAlign w:val="bottom"/>
            <w:tcBorders>
              <w:bottom w:val="single" w:sz="8" w:color="auto"/>
              <w:right w:val="single" w:sz="8" w:color="CCEEFF"/>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right w:val="single" w:sz="8" w:color="auto"/>
            </w:tcBorders>
            <w:shd w:val="clear" w:color="auto" w:fill="CCEEFF"/>
          </w:tcPr>
          <w:p>
            <w:pPr>
              <w:spacing w:after="0"/>
              <w:rPr>
                <w:sz w:val="8"/>
                <w:szCs w:val="8"/>
                <w:color w:val="auto"/>
              </w:rPr>
            </w:pPr>
          </w:p>
        </w:tc>
        <w:tc>
          <w:tcPr>
            <w:tcW w:w="1120" w:type="dxa"/>
            <w:vAlign w:val="bottom"/>
            <w:tcBorders>
              <w:bottom w:val="single" w:sz="8" w:color="auto"/>
              <w:right w:val="single" w:sz="8" w:color="CCEEFF"/>
            </w:tcBorders>
            <w:shd w:val="clear" w:color="auto" w:fill="CCEEFF"/>
          </w:tcPr>
          <w:p>
            <w:pPr>
              <w:spacing w:after="0"/>
              <w:rPr>
                <w:sz w:val="8"/>
                <w:szCs w:val="8"/>
                <w:color w:val="auto"/>
              </w:rPr>
            </w:pPr>
          </w:p>
        </w:tc>
        <w:tc>
          <w:tcPr>
            <w:tcW w:w="380" w:type="dxa"/>
            <w:vAlign w:val="bottom"/>
            <w:tcBorders>
              <w:bottom w:val="single" w:sz="8" w:color="auto"/>
              <w:right w:val="single" w:sz="8" w:color="auto"/>
            </w:tcBorders>
            <w:shd w:val="clear" w:color="auto" w:fill="CCEEFF"/>
          </w:tcPr>
          <w:p>
            <w:pPr>
              <w:spacing w:after="0"/>
              <w:rPr>
                <w:sz w:val="8"/>
                <w:szCs w:val="8"/>
                <w:color w:val="auto"/>
              </w:rPr>
            </w:pPr>
          </w:p>
        </w:tc>
        <w:tc>
          <w:tcPr>
            <w:tcW w:w="82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68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Week 16 LS Mean</w:t>
            </w:r>
          </w:p>
        </w:tc>
        <w:tc>
          <w:tcPr>
            <w:tcW w:w="320" w:type="dxa"/>
            <w:vAlign w:val="bottom"/>
          </w:tcPr>
          <w:p>
            <w:pPr>
              <w:spacing w:after="0"/>
              <w:rPr>
                <w:sz w:val="16"/>
                <w:szCs w:val="16"/>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right w:val="single" w:sz="8" w:color="auto"/>
            </w:tcBorders>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-20.62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8"/>
              </w:rPr>
              <w:t>-24.32</w:t>
            </w:r>
          </w:p>
        </w:tc>
        <w:tc>
          <w:tcPr>
            <w:tcW w:w="3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CAP Score (dB/m)</w:t>
            </w:r>
          </w:p>
        </w:tc>
        <w:tc>
          <w:tcPr>
            <w:tcW w:w="3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0.0452†</w:t>
            </w: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7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0.5787</w:t>
            </w:r>
          </w:p>
        </w:tc>
        <w:tc>
          <w:tcPr>
            <w:tcW w:w="100" w:type="dxa"/>
            <w:vAlign w:val="bottom"/>
            <w:tcBorders>
              <w:right w:val="single" w:sz="8" w:color="auto"/>
            </w:tcBorders>
          </w:tcPr>
          <w:p>
            <w:pPr>
              <w:spacing w:after="0"/>
              <w:rPr>
                <w:sz w:val="9"/>
                <w:szCs w:val="9"/>
                <w:color w:val="auto"/>
              </w:rPr>
            </w:pPr>
          </w:p>
        </w:tc>
        <w:tc>
          <w:tcPr>
            <w:tcW w:w="112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0.0308†</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gridSpan w:val="2"/>
            <w:vMerge w:val="continue"/>
          </w:tcPr>
          <w:p>
            <w:pPr>
              <w:spacing w:after="0"/>
              <w:rPr>
                <w:sz w:val="9"/>
                <w:szCs w:val="9"/>
                <w:color w:val="auto"/>
              </w:rPr>
            </w:pPr>
          </w:p>
        </w:tc>
        <w:tc>
          <w:tcPr>
            <w:tcW w:w="13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(-16.17, 11.52)</w:t>
            </w:r>
          </w:p>
        </w:tc>
        <w:tc>
          <w:tcPr>
            <w:tcW w:w="280" w:type="dxa"/>
            <w:vAlign w:val="bottom"/>
          </w:tcPr>
          <w:p>
            <w:pPr>
              <w:spacing w:after="0"/>
              <w:rPr>
                <w:sz w:val="9"/>
                <w:szCs w:val="9"/>
                <w:color w:val="auto"/>
              </w:rPr>
            </w:pPr>
          </w:p>
        </w:tc>
        <w:tc>
          <w:tcPr>
            <w:tcW w:w="1440" w:type="dxa"/>
            <w:vAlign w:val="bottom"/>
            <w:tcBorders>
              <w:right w:val="single" w:sz="8" w:color="auto"/>
            </w:tcBorders>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9"/>
              </w:rPr>
              <w:t>(-31.99, -9.26)*</w:t>
            </w:r>
          </w:p>
        </w:tc>
        <w:tc>
          <w:tcPr>
            <w:tcW w:w="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(-28.08, 10.20)</w:t>
            </w:r>
          </w:p>
        </w:tc>
        <w:tc>
          <w:tcPr>
            <w:tcW w:w="70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(-38.54, -10.10)*</w:t>
            </w: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ind w:right="191"/>
              <w:spacing w:after="0"/>
              <w:rPr>
                <w:sz w:val="20"/>
                <w:szCs w:val="20"/>
                <w:color w:val="auto"/>
              </w:rPr>
            </w:pPr>
            <w:r>
              <w:rPr>
                <w:rFonts w:ascii="Times New Roman" w:cs="Times New Roman" w:eastAsia="Times New Roman" w:hAnsi="Times New Roman"/>
                <w:sz w:val="18"/>
                <w:szCs w:val="18"/>
                <w:color w:val="auto"/>
                <w:w w:val="97"/>
              </w:rPr>
              <w:t>(95% CI)</w:t>
            </w:r>
          </w:p>
        </w:tc>
        <w:tc>
          <w:tcPr>
            <w:tcW w:w="1320" w:type="dxa"/>
            <w:vAlign w:val="bottom"/>
            <w:tcBorders>
              <w:right w:val="single" w:sz="8" w:color="auto"/>
            </w:tcBorders>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 w:type="dxa"/>
            <w:vAlign w:val="bottom"/>
            <w:tcBorders>
              <w:left w:val="single" w:sz="8" w:color="auto"/>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60" w:type="dxa"/>
            <w:vAlign w:val="bottom"/>
            <w:tcBorders>
              <w:left w:val="single" w:sz="8" w:color="auto"/>
              <w:right w:val="single" w:sz="8" w:color="CCEEFF"/>
            </w:tcBorders>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jc w:val="center"/>
              <w:ind w:right="191"/>
              <w:spacing w:after="0" w:line="184" w:lineRule="exact"/>
              <w:rPr>
                <w:sz w:val="20"/>
                <w:szCs w:val="20"/>
                <w:color w:val="auto"/>
              </w:rPr>
            </w:pPr>
            <w:r>
              <w:rPr>
                <w:rFonts w:ascii="Times New Roman" w:cs="Times New Roman" w:eastAsia="Times New Roman" w:hAnsi="Times New Roman"/>
                <w:sz w:val="18"/>
                <w:szCs w:val="18"/>
                <w:color w:val="auto"/>
                <w:w w:val="98"/>
              </w:rPr>
              <w:t>Baseline Mean</w:t>
            </w:r>
          </w:p>
        </w:tc>
        <w:tc>
          <w:tcPr>
            <w:tcW w:w="32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vMerge w:val="restart"/>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10.71</w:t>
            </w:r>
          </w:p>
        </w:tc>
        <w:tc>
          <w:tcPr>
            <w:tcW w:w="26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120" w:type="dxa"/>
            <w:vAlign w:val="bottom"/>
            <w:tcBorders>
              <w:right w:val="single" w:sz="8" w:color="CCEEFF"/>
            </w:tcBorders>
            <w:vMerge w:val="restart"/>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10.32</w:t>
            </w:r>
          </w:p>
        </w:tc>
        <w:tc>
          <w:tcPr>
            <w:tcW w:w="38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0" w:type="dxa"/>
            <w:vAlign w:val="bottom"/>
            <w:tcBorders>
              <w:left w:val="single" w:sz="8" w:color="auto"/>
              <w:right w:val="single" w:sz="8" w:color="CCEEFF"/>
            </w:tcBorders>
            <w:shd w:val="clear" w:color="auto" w:fill="CCEEFF"/>
          </w:tcPr>
          <w:p>
            <w:pPr>
              <w:spacing w:after="0"/>
              <w:rPr>
                <w:sz w:val="12"/>
                <w:szCs w:val="12"/>
                <w:color w:val="auto"/>
              </w:rPr>
            </w:pPr>
          </w:p>
        </w:tc>
        <w:tc>
          <w:tcPr>
            <w:tcW w:w="1420" w:type="dxa"/>
            <w:vAlign w:val="bottom"/>
            <w:tcBorders>
              <w:right w:val="single" w:sz="8" w:color="auto"/>
            </w:tcBorders>
            <w:vMerge w:val="restart"/>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7"/>
              </w:rPr>
              <w:t>(kPa)</w:t>
            </w:r>
          </w:p>
        </w:tc>
        <w:tc>
          <w:tcPr>
            <w:tcW w:w="32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tcBorders>
              <w:right w:val="single" w:sz="8" w:color="auto"/>
            </w:tcBorders>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continue"/>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120" w:type="dxa"/>
            <w:vAlign w:val="bottom"/>
            <w:tcBorders>
              <w:right w:val="single" w:sz="8" w:color="CCEEFF"/>
            </w:tcBorders>
            <w:vMerge w:val="continue"/>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0" w:type="dxa"/>
            <w:vAlign w:val="bottom"/>
            <w:tcBorders>
              <w:left w:val="single" w:sz="8" w:color="auto"/>
              <w:bottom w:val="single" w:sz="8" w:color="auto"/>
              <w:right w:val="single" w:sz="8" w:color="CCEEFF"/>
            </w:tcBorders>
            <w:shd w:val="clear" w:color="auto" w:fill="CCEEFF"/>
          </w:tcPr>
          <w:p>
            <w:pPr>
              <w:spacing w:after="0"/>
              <w:rPr>
                <w:sz w:val="8"/>
                <w:szCs w:val="8"/>
                <w:color w:val="auto"/>
              </w:rPr>
            </w:pPr>
          </w:p>
        </w:tc>
        <w:tc>
          <w:tcPr>
            <w:tcW w:w="14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right w:val="single" w:sz="8" w:color="CCEEFF"/>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right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right w:val="single" w:sz="8" w:color="CCEEFF"/>
            </w:tcBorders>
            <w:shd w:val="clear" w:color="auto" w:fill="CCEEFF"/>
          </w:tcPr>
          <w:p>
            <w:pPr>
              <w:spacing w:after="0"/>
              <w:rPr>
                <w:sz w:val="8"/>
                <w:szCs w:val="8"/>
                <w:color w:val="auto"/>
              </w:rPr>
            </w:pPr>
          </w:p>
        </w:tc>
        <w:tc>
          <w:tcPr>
            <w:tcW w:w="920" w:type="dxa"/>
            <w:vAlign w:val="bottom"/>
            <w:tcBorders>
              <w:bottom w:val="single" w:sz="8" w:color="auto"/>
              <w:right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right w:val="single" w:sz="8" w:color="CCEEFF"/>
            </w:tcBorders>
            <w:shd w:val="clear" w:color="auto" w:fill="CCEEFF"/>
          </w:tcPr>
          <w:p>
            <w:pPr>
              <w:spacing w:after="0"/>
              <w:rPr>
                <w:sz w:val="8"/>
                <w:szCs w:val="8"/>
                <w:color w:val="auto"/>
              </w:rPr>
            </w:pPr>
          </w:p>
        </w:tc>
        <w:tc>
          <w:tcPr>
            <w:tcW w:w="120" w:type="dxa"/>
            <w:vAlign w:val="bottom"/>
            <w:tcBorders>
              <w:bottom w:val="single" w:sz="8" w:color="auto"/>
              <w:right w:val="single" w:sz="8" w:color="auto"/>
            </w:tcBorders>
            <w:shd w:val="clear" w:color="auto" w:fill="CCEEFF"/>
          </w:tcPr>
          <w:p>
            <w:pPr>
              <w:spacing w:after="0"/>
              <w:rPr>
                <w:sz w:val="8"/>
                <w:szCs w:val="8"/>
                <w:color w:val="auto"/>
              </w:rPr>
            </w:pPr>
          </w:p>
        </w:tc>
        <w:tc>
          <w:tcPr>
            <w:tcW w:w="1320" w:type="dxa"/>
            <w:vAlign w:val="bottom"/>
            <w:tcBorders>
              <w:bottom w:val="single" w:sz="8" w:color="auto"/>
              <w:right w:val="single" w:sz="8" w:color="auto"/>
            </w:tcBorders>
            <w:shd w:val="clear" w:color="auto" w:fill="CCEEFF"/>
          </w:tcPr>
          <w:p>
            <w:pPr>
              <w:spacing w:after="0"/>
              <w:rPr>
                <w:sz w:val="8"/>
                <w:szCs w:val="8"/>
                <w:color w:val="auto"/>
              </w:rPr>
            </w:pPr>
          </w:p>
        </w:tc>
        <w:tc>
          <w:tcPr>
            <w:tcW w:w="260" w:type="dxa"/>
            <w:vAlign w:val="bottom"/>
            <w:tcBorders>
              <w:bottom w:val="single" w:sz="8" w:color="auto"/>
              <w:right w:val="single" w:sz="8" w:color="CCEEFF"/>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right w:val="single" w:sz="8" w:color="auto"/>
            </w:tcBorders>
            <w:shd w:val="clear" w:color="auto" w:fill="CCEEFF"/>
          </w:tcPr>
          <w:p>
            <w:pPr>
              <w:spacing w:after="0"/>
              <w:rPr>
                <w:sz w:val="8"/>
                <w:szCs w:val="8"/>
                <w:color w:val="auto"/>
              </w:rPr>
            </w:pPr>
          </w:p>
        </w:tc>
        <w:tc>
          <w:tcPr>
            <w:tcW w:w="1120" w:type="dxa"/>
            <w:vAlign w:val="bottom"/>
            <w:tcBorders>
              <w:bottom w:val="single" w:sz="8" w:color="auto"/>
              <w:right w:val="single" w:sz="8" w:color="CCEEFF"/>
            </w:tcBorders>
            <w:shd w:val="clear" w:color="auto" w:fill="CCEEFF"/>
          </w:tcPr>
          <w:p>
            <w:pPr>
              <w:spacing w:after="0"/>
              <w:rPr>
                <w:sz w:val="8"/>
                <w:szCs w:val="8"/>
                <w:color w:val="auto"/>
              </w:rPr>
            </w:pPr>
          </w:p>
        </w:tc>
        <w:tc>
          <w:tcPr>
            <w:tcW w:w="380" w:type="dxa"/>
            <w:vAlign w:val="bottom"/>
            <w:tcBorders>
              <w:bottom w:val="single" w:sz="8" w:color="auto"/>
              <w:right w:val="single" w:sz="8" w:color="auto"/>
            </w:tcBorders>
            <w:shd w:val="clear" w:color="auto" w:fill="CCEEFF"/>
          </w:tcPr>
          <w:p>
            <w:pPr>
              <w:spacing w:after="0"/>
              <w:rPr>
                <w:sz w:val="8"/>
                <w:szCs w:val="8"/>
                <w:color w:val="auto"/>
              </w:rPr>
            </w:pPr>
          </w:p>
        </w:tc>
        <w:tc>
          <w:tcPr>
            <w:tcW w:w="82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680" w:type="dxa"/>
            <w:vAlign w:val="bottom"/>
            <w:tcBorders>
              <w:left w:val="single" w:sz="8" w:color="auto"/>
              <w:right w:val="single" w:sz="8" w:color="auto"/>
            </w:tcBorders>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Week 16 LS Mean</w:t>
            </w:r>
          </w:p>
        </w:tc>
        <w:tc>
          <w:tcPr>
            <w:tcW w:w="320" w:type="dxa"/>
            <w:vAlign w:val="bottom"/>
          </w:tcPr>
          <w:p>
            <w:pPr>
              <w:spacing w:after="0"/>
              <w:rPr>
                <w:sz w:val="16"/>
                <w:szCs w:val="16"/>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0.29</w:t>
            </w:r>
          </w:p>
        </w:tc>
        <w:tc>
          <w:tcPr>
            <w:tcW w:w="3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right w:val="single" w:sz="8" w:color="auto"/>
            </w:tcBorders>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1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VCTE Score (kPa)</w:t>
            </w:r>
          </w:p>
        </w:tc>
        <w:tc>
          <w:tcPr>
            <w:tcW w:w="3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6"/>
              </w:rPr>
              <w:t>0.0997</w:t>
            </w: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7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0.2257</w:t>
            </w:r>
          </w:p>
        </w:tc>
        <w:tc>
          <w:tcPr>
            <w:tcW w:w="100" w:type="dxa"/>
            <w:vAlign w:val="bottom"/>
            <w:tcBorders>
              <w:right w:val="single" w:sz="8" w:color="auto"/>
            </w:tcBorders>
          </w:tcPr>
          <w:p>
            <w:pPr>
              <w:spacing w:after="0"/>
              <w:rPr>
                <w:sz w:val="9"/>
                <w:szCs w:val="9"/>
                <w:color w:val="auto"/>
              </w:rPr>
            </w:pPr>
          </w:p>
        </w:tc>
        <w:tc>
          <w:tcPr>
            <w:tcW w:w="112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0.8051</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gridSpan w:val="2"/>
            <w:vMerge w:val="continue"/>
          </w:tcPr>
          <w:p>
            <w:pPr>
              <w:spacing w:after="0"/>
              <w:rPr>
                <w:sz w:val="9"/>
                <w:szCs w:val="9"/>
                <w:color w:val="auto"/>
              </w:rPr>
            </w:pPr>
          </w:p>
        </w:tc>
        <w:tc>
          <w:tcPr>
            <w:tcW w:w="13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(-1.31, 1.89)</w:t>
            </w:r>
          </w:p>
        </w:tc>
        <w:tc>
          <w:tcPr>
            <w:tcW w:w="280" w:type="dxa"/>
            <w:vAlign w:val="bottom"/>
          </w:tcPr>
          <w:p>
            <w:pPr>
              <w:spacing w:after="0"/>
              <w:rPr>
                <w:sz w:val="9"/>
                <w:szCs w:val="9"/>
                <w:color w:val="auto"/>
              </w:rPr>
            </w:pPr>
          </w:p>
        </w:tc>
        <w:tc>
          <w:tcPr>
            <w:tcW w:w="14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(-2.77, -0.13)*</w:t>
            </w:r>
          </w:p>
        </w:tc>
        <w:tc>
          <w:tcPr>
            <w:tcW w:w="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(-3.62, 0.83)</w:t>
            </w:r>
          </w:p>
        </w:tc>
        <w:tc>
          <w:tcPr>
            <w:tcW w:w="70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(-1.64, 1.64)</w:t>
            </w: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ind w:right="191"/>
              <w:spacing w:after="0"/>
              <w:rPr>
                <w:sz w:val="20"/>
                <w:szCs w:val="20"/>
                <w:color w:val="auto"/>
              </w:rPr>
            </w:pPr>
            <w:r>
              <w:rPr>
                <w:rFonts w:ascii="Times New Roman" w:cs="Times New Roman" w:eastAsia="Times New Roman" w:hAnsi="Times New Roman"/>
                <w:sz w:val="18"/>
                <w:szCs w:val="18"/>
                <w:color w:val="auto"/>
                <w:w w:val="97"/>
              </w:rPr>
              <w:t>(95% CI)</w:t>
            </w:r>
          </w:p>
        </w:tc>
        <w:tc>
          <w:tcPr>
            <w:tcW w:w="1320" w:type="dxa"/>
            <w:vAlign w:val="bottom"/>
            <w:tcBorders>
              <w:right w:val="single" w:sz="8" w:color="auto"/>
            </w:tcBorders>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 w:type="dxa"/>
            <w:vAlign w:val="bottom"/>
            <w:tcBorders>
              <w:left w:val="single" w:sz="8" w:color="auto"/>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bottom w:val="single" w:sz="8" w:color="auto"/>
              <w:right w:val="single" w:sz="8" w:color="CCEEFF"/>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98"/>
              </w:rPr>
              <w:t>Baseline Mean</w:t>
            </w: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0.555</w:t>
            </w:r>
          </w:p>
        </w:tc>
        <w:tc>
          <w:tcPr>
            <w:tcW w:w="38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right w:val="single" w:sz="8" w:color="auto"/>
            </w:tcBorders>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0.564</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right w:val="single" w:sz="8" w:color="auto"/>
            </w:tcBorders>
            <w:shd w:val="clear" w:color="auto" w:fill="CCEEFF"/>
          </w:tcPr>
          <w:p>
            <w:pPr>
              <w:spacing w:after="0"/>
              <w:rPr>
                <w:sz w:val="18"/>
                <w:szCs w:val="18"/>
                <w:color w:val="auto"/>
              </w:rPr>
            </w:pP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0.604</w:t>
            </w: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0.538</w:t>
            </w:r>
          </w:p>
        </w:tc>
        <w:tc>
          <w:tcPr>
            <w:tcW w:w="380" w:type="dxa"/>
            <w:vAlign w:val="bottom"/>
            <w:tcBorders>
              <w:bottom w:val="single" w:sz="8" w:color="auto"/>
              <w:right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680" w:type="dxa"/>
            <w:vAlign w:val="bottom"/>
            <w:tcBorders>
              <w:left w:val="single" w:sz="8" w:color="auto"/>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Week 16 LS Mean</w:t>
            </w:r>
          </w:p>
        </w:tc>
        <w:tc>
          <w:tcPr>
            <w:tcW w:w="32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Borders>
              <w:right w:val="single" w:sz="8" w:color="auto"/>
            </w:tcBorders>
            <w:gridSpan w:val="2"/>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2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vMerge w:val="restart"/>
          </w:tcPr>
          <w:p>
            <w:pPr>
              <w:jc w:val="center"/>
              <w:ind w:right="191"/>
              <w:spacing w:after="0"/>
              <w:rPr>
                <w:sz w:val="20"/>
                <w:szCs w:val="20"/>
                <w:color w:val="auto"/>
              </w:rPr>
            </w:pPr>
            <w:r>
              <w:rPr>
                <w:rFonts w:ascii="Times New Roman" w:cs="Times New Roman" w:eastAsia="Times New Roman" w:hAnsi="Times New Roman"/>
                <w:sz w:val="18"/>
                <w:szCs w:val="18"/>
                <w:color w:val="auto"/>
                <w:w w:val="99"/>
              </w:rPr>
              <w:t>FAST score</w:t>
            </w:r>
          </w:p>
        </w:tc>
        <w:tc>
          <w:tcPr>
            <w:tcW w:w="32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0.0416†</w:t>
            </w: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7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0.2429</w:t>
            </w:r>
          </w:p>
        </w:tc>
        <w:tc>
          <w:tcPr>
            <w:tcW w:w="100" w:type="dxa"/>
            <w:vAlign w:val="bottom"/>
            <w:tcBorders>
              <w:right w:val="single" w:sz="8" w:color="auto"/>
            </w:tcBorders>
          </w:tcPr>
          <w:p>
            <w:pPr>
              <w:spacing w:after="0"/>
              <w:rPr>
                <w:sz w:val="9"/>
                <w:szCs w:val="9"/>
                <w:color w:val="auto"/>
              </w:rPr>
            </w:pPr>
          </w:p>
        </w:tc>
        <w:tc>
          <w:tcPr>
            <w:tcW w:w="1120" w:type="dxa"/>
            <w:vAlign w:val="bottom"/>
            <w:vMerge w:val="continue"/>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0.0704</w:t>
            </w: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(-0.17, -0.01)*</w:t>
            </w:r>
          </w:p>
        </w:tc>
        <w:tc>
          <w:tcPr>
            <w:tcW w:w="280" w:type="dxa"/>
            <w:vAlign w:val="bottom"/>
          </w:tcPr>
          <w:p>
            <w:pPr>
              <w:spacing w:after="0"/>
              <w:rPr>
                <w:sz w:val="9"/>
                <w:szCs w:val="9"/>
                <w:color w:val="auto"/>
              </w:rPr>
            </w:pPr>
          </w:p>
        </w:tc>
        <w:tc>
          <w:tcPr>
            <w:tcW w:w="144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(-0.26, -0.13)*</w:t>
            </w:r>
          </w:p>
        </w:tc>
        <w:tc>
          <w:tcPr>
            <w:tcW w:w="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(-0.28, -0.06)*</w:t>
            </w:r>
          </w:p>
        </w:tc>
        <w:tc>
          <w:tcPr>
            <w:tcW w:w="70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(-0.27, -0.11)*</w:t>
            </w: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ind w:right="191"/>
              <w:spacing w:after="0"/>
              <w:rPr>
                <w:sz w:val="20"/>
                <w:szCs w:val="20"/>
                <w:color w:val="auto"/>
              </w:rPr>
            </w:pPr>
            <w:r>
              <w:rPr>
                <w:rFonts w:ascii="Times New Roman" w:cs="Times New Roman" w:eastAsia="Times New Roman" w:hAnsi="Times New Roman"/>
                <w:sz w:val="18"/>
                <w:szCs w:val="18"/>
                <w:color w:val="auto"/>
                <w:w w:val="97"/>
              </w:rPr>
              <w:t>(95% CI)</w:t>
            </w:r>
          </w:p>
        </w:tc>
        <w:tc>
          <w:tcPr>
            <w:tcW w:w="1320" w:type="dxa"/>
            <w:vAlign w:val="bottom"/>
            <w:tcBorders>
              <w:right w:val="single" w:sz="8" w:color="auto"/>
            </w:tcBorders>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0" w:type="dxa"/>
            <w:vAlign w:val="bottom"/>
            <w:tcBorders>
              <w:left w:val="single" w:sz="8" w:color="auto"/>
              <w:bottom w:val="single" w:sz="8" w:color="auto"/>
            </w:tcBorders>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hanging="117"/>
        <w:spacing w:after="0"/>
        <w:tabs>
          <w:tab w:leader="none" w:pos="6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Confidence interval excludes 0, suggesting a statistically meaningful difference.</w:t>
      </w:r>
    </w:p>
    <w:p>
      <w:pPr>
        <w:spacing w:after="0" w:line="4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 &lt; 0.05 vs. placebo</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LS Mean HbA1c Changes from Baseline at Week 16 (%)</w:t>
      </w:r>
    </w:p>
    <w:p>
      <w:pPr>
        <w:spacing w:after="0" w:line="34" w:lineRule="exact"/>
        <w:rPr>
          <w:sz w:val="20"/>
          <w:szCs w:val="20"/>
          <w:color w:val="auto"/>
        </w:rPr>
      </w:pPr>
    </w:p>
    <w:tbl>
      <w:tblPr>
        <w:tblLayout w:type="fixed"/>
        <w:tblInd w:w="250" w:type="dxa"/>
        <w:tblCellMar>
          <w:top w:w="0" w:type="dxa"/>
          <w:left w:w="0" w:type="dxa"/>
          <w:bottom w:w="0" w:type="dxa"/>
          <w:right w:w="0" w:type="dxa"/>
        </w:tblCellMar>
      </w:tblPr>
      <w:tr>
        <w:trPr>
          <w:trHeight w:val="211"/>
        </w:trPr>
        <w:tc>
          <w:tcPr>
            <w:tcW w:w="1440" w:type="dxa"/>
            <w:vAlign w:val="bottom"/>
            <w:tcBorders>
              <w:top w:val="single" w:sz="8" w:color="auto"/>
              <w:left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Placebo</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DA-1241 100 mg</w:t>
            </w: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 value</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DA-1241</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 value</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DA-1241</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 value</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rPr>
              <w:t>+ Sitagliptin 100</w:t>
            </w:r>
          </w:p>
        </w:tc>
        <w:tc>
          <w:tcPr>
            <w:tcW w:w="80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50 mg</w:t>
            </w:r>
          </w:p>
        </w:tc>
        <w:tc>
          <w:tcPr>
            <w:tcW w:w="9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100 mg</w:t>
            </w: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(N=23)</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mg</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vs. PBO</w:t>
            </w:r>
          </w:p>
        </w:tc>
        <w:tc>
          <w:tcPr>
            <w:tcW w:w="12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vs. PBO</w:t>
            </w:r>
          </w:p>
        </w:tc>
        <w:tc>
          <w:tcPr>
            <w:tcW w:w="13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vs. PBO</w:t>
            </w:r>
          </w:p>
        </w:tc>
        <w:tc>
          <w:tcPr>
            <w:tcW w:w="0" w:type="dxa"/>
            <w:vAlign w:val="bottom"/>
          </w:tcPr>
          <w:p>
            <w:pPr>
              <w:spacing w:after="0"/>
              <w:rPr>
                <w:sz w:val="1"/>
                <w:szCs w:val="1"/>
                <w:color w:val="auto"/>
              </w:rPr>
            </w:pPr>
          </w:p>
        </w:tc>
      </w:tr>
      <w:tr>
        <w:trPr>
          <w:trHeight w:val="121"/>
        </w:trPr>
        <w:tc>
          <w:tcPr>
            <w:tcW w:w="144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(N=12)</w:t>
            </w:r>
          </w:p>
        </w:tc>
        <w:tc>
          <w:tcPr>
            <w:tcW w:w="9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(N=22)</w:t>
            </w:r>
          </w:p>
        </w:tc>
        <w:tc>
          <w:tcPr>
            <w:tcW w:w="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40" w:type="dxa"/>
            <w:vAlign w:val="bottom"/>
            <w:tcBorders>
              <w:left w:val="single" w:sz="8" w:color="auto"/>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(N=34)</w:t>
            </w:r>
          </w:p>
        </w:tc>
        <w:tc>
          <w:tcPr>
            <w:tcW w:w="8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Baseline Mean</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6.78</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6.51</w:t>
            </w: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6.58</w:t>
            </w: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7.01</w:t>
            </w: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Week 16 LS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-0.52</w:t>
            </w:r>
          </w:p>
        </w:tc>
        <w:tc>
          <w:tcPr>
            <w:tcW w:w="8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-0.24</w:t>
            </w:r>
          </w:p>
        </w:tc>
        <w:tc>
          <w:tcPr>
            <w:tcW w:w="9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-0.48</w:t>
            </w: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Mean</w:t>
            </w:r>
          </w:p>
        </w:tc>
        <w:tc>
          <w:tcPr>
            <w:tcW w:w="112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0.0050†</w:t>
            </w:r>
          </w:p>
        </w:tc>
        <w:tc>
          <w:tcPr>
            <w:tcW w:w="12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0.2357</w:t>
            </w:r>
          </w:p>
        </w:tc>
        <w:tc>
          <w:tcPr>
            <w:tcW w:w="13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0.0179†</w:t>
            </w: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(-0.23, 0.44)</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(-0.80, -0.25)*</w:t>
            </w:r>
          </w:p>
        </w:tc>
        <w:tc>
          <w:tcPr>
            <w:tcW w:w="80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(-0.70, 0.22)</w:t>
            </w:r>
          </w:p>
        </w:tc>
        <w:tc>
          <w:tcPr>
            <w:tcW w:w="94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(-0.82, -0.13) *</w:t>
            </w:r>
          </w:p>
        </w:tc>
        <w:tc>
          <w:tcPr>
            <w:tcW w:w="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(95% CI)</w:t>
            </w:r>
          </w:p>
        </w:tc>
        <w:tc>
          <w:tcPr>
            <w:tcW w:w="112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hanging="117"/>
        <w:spacing w:after="0"/>
        <w:tabs>
          <w:tab w:leader="none" w:pos="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Confidence interval excludes 0, suggesting a statistically meaningful difference.</w:t>
      </w:r>
    </w:p>
    <w:p>
      <w:pPr>
        <w:spacing w:after="0" w:line="4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 &lt; 0.05 vs. placebo</w:t>
      </w:r>
    </w:p>
    <w:p>
      <w:pPr>
        <w:spacing w:after="0" w:line="200" w:lineRule="exact"/>
        <w:rPr>
          <w:sz w:val="20"/>
          <w:szCs w:val="20"/>
          <w:color w:val="auto"/>
        </w:rPr>
      </w:pPr>
    </w:p>
    <w:p>
      <w:pPr>
        <w:spacing w:after="0" w:line="32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366395</wp:posOffset>
            </wp:positionV>
            <wp:extent cx="5880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10000"/>
          </w:cols>
          <w:pgMar w:left="1080" w:top="513" w:right="8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LS Mean CAP, FAST, HbA1c score Changes from Baseline at Week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111760</wp:posOffset>
            </wp:positionV>
            <wp:extent cx="5760720" cy="2837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Overall TEAE Summary</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320" w:type="dxa"/>
            <w:vAlign w:val="bottom"/>
            <w:tcBorders>
              <w:top w:val="single" w:sz="8" w:color="auto"/>
              <w:left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DA-1241 100</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mg +</w:t>
            </w:r>
          </w:p>
        </w:tc>
        <w:tc>
          <w:tcPr>
            <w:tcW w:w="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Sitagliptin</w:t>
            </w:r>
          </w:p>
        </w:tc>
        <w:tc>
          <w:tcPr>
            <w:tcW w:w="200" w:type="dxa"/>
            <w:vAlign w:val="bottom"/>
          </w:tcPr>
          <w:p>
            <w:pPr>
              <w:spacing w:after="0"/>
              <w:rPr>
                <w:sz w:val="18"/>
                <w:szCs w:val="18"/>
                <w:color w:val="auto"/>
              </w:rPr>
            </w:pPr>
          </w:p>
        </w:tc>
        <w:tc>
          <w:tcPr>
            <w:tcW w:w="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DA-1241</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DA-1241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Placebo</w:t>
            </w:r>
          </w:p>
        </w:tc>
        <w:tc>
          <w:tcPr>
            <w:tcW w:w="200" w:type="dxa"/>
            <w:vAlign w:val="bottom"/>
          </w:tcPr>
          <w:p>
            <w:pPr>
              <w:spacing w:after="0"/>
              <w:rPr>
                <w:sz w:val="18"/>
                <w:szCs w:val="18"/>
                <w:color w:val="auto"/>
              </w:rPr>
            </w:pPr>
          </w:p>
        </w:tc>
        <w:tc>
          <w:tcPr>
            <w:tcW w:w="10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100 mg</w:t>
            </w:r>
          </w:p>
        </w:tc>
        <w:tc>
          <w:tcPr>
            <w:tcW w:w="200" w:type="dxa"/>
            <w:vAlign w:val="bottom"/>
          </w:tcPr>
          <w:p>
            <w:pPr>
              <w:spacing w:after="0"/>
              <w:rPr>
                <w:sz w:val="18"/>
                <w:szCs w:val="18"/>
                <w:color w:val="auto"/>
              </w:rPr>
            </w:pPr>
          </w:p>
        </w:tc>
        <w:tc>
          <w:tcPr>
            <w:tcW w:w="94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50 mg</w:t>
            </w:r>
          </w:p>
        </w:tc>
        <w:tc>
          <w:tcPr>
            <w:tcW w:w="200" w:type="dxa"/>
            <w:vAlign w:val="bottom"/>
          </w:tcPr>
          <w:p>
            <w:pPr>
              <w:spacing w:after="0"/>
              <w:rPr>
                <w:sz w:val="18"/>
                <w:szCs w:val="18"/>
                <w:color w:val="auto"/>
              </w:rPr>
            </w:pPr>
          </w:p>
        </w:tc>
        <w:tc>
          <w:tcPr>
            <w:tcW w:w="9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100 mg</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 (%)</w:t>
            </w:r>
          </w:p>
        </w:tc>
        <w:tc>
          <w:tcPr>
            <w:tcW w:w="118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(N=32)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(N=36)</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(N=14)</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(N=26)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500" w:type="dxa"/>
            <w:vAlign w:val="bottom"/>
            <w:tcBorders>
              <w:left w:val="single" w:sz="8" w:color="auto"/>
              <w:right w:val="single" w:sz="8" w:color="auto"/>
            </w:tcBorders>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Subjects with any Treatment Related AE</w:t>
            </w:r>
          </w:p>
        </w:tc>
        <w:tc>
          <w:tcPr>
            <w:tcW w:w="2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60" w:type="dxa"/>
            <w:vAlign w:val="bottom"/>
            <w:tcBorders>
              <w:right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( 28.1%)</w:t>
            </w:r>
          </w:p>
        </w:tc>
        <w:tc>
          <w:tcPr>
            <w:tcW w:w="1200" w:type="dxa"/>
            <w:vAlign w:val="bottom"/>
            <w:tcBorders>
              <w:right w:val="single" w:sz="8" w:color="auto"/>
            </w:tcBorders>
            <w:gridSpan w:val="2"/>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10 ( 27.8%)</w:t>
            </w:r>
          </w:p>
        </w:tc>
        <w:tc>
          <w:tcPr>
            <w:tcW w:w="2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( 28.6%)</w:t>
            </w:r>
          </w:p>
        </w:tc>
        <w:tc>
          <w:tcPr>
            <w:tcW w:w="2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00" w:type="dxa"/>
            <w:vAlign w:val="bottom"/>
            <w:tcBorders>
              <w:right w:val="single" w:sz="8" w:color="auto"/>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( 34.6%)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Mild</w:t>
            </w:r>
          </w:p>
        </w:tc>
        <w:tc>
          <w:tcPr>
            <w:tcW w:w="1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( 25.0%)</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( 30.8%)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Moderate</w:t>
            </w:r>
          </w:p>
        </w:tc>
        <w:tc>
          <w:tcPr>
            <w:tcW w:w="1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Severe</w:t>
            </w: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Subjects with any Treatment related SAE</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Borders>
              <w:bottom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auto"/>
              <w:right w:val="single" w:sz="8" w:color="auto"/>
            </w:tcBorders>
            <w:gridSpan w:val="2"/>
            <w:shd w:val="clear" w:color="auto" w:fill="CCEEFF"/>
          </w:tcPr>
          <w:p>
            <w:pPr>
              <w:ind w:left="100"/>
              <w:spacing w:after="0" w:line="160" w:lineRule="exact"/>
              <w:rPr>
                <w:sz w:val="20"/>
                <w:szCs w:val="20"/>
                <w:color w:val="auto"/>
              </w:rPr>
            </w:pPr>
            <w:r>
              <w:rPr>
                <w:rFonts w:ascii="Times New Roman" w:cs="Times New Roman" w:eastAsia="Times New Roman" w:hAnsi="Times New Roman"/>
                <w:sz w:val="18"/>
                <w:szCs w:val="18"/>
                <w:color w:val="auto"/>
              </w:rPr>
              <w:t>Subjects with any TEAE leading to</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right w:val="single" w:sz="8" w:color="auto"/>
            </w:tcBorders>
            <w:shd w:val="clear" w:color="auto" w:fill="CCEEFF"/>
          </w:tcPr>
          <w:p>
            <w:pPr>
              <w:spacing w:after="0"/>
              <w:rPr>
                <w:sz w:val="13"/>
                <w:szCs w:val="13"/>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Borders>
              <w:right w:val="single" w:sz="8" w:color="auto"/>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20" w:type="dxa"/>
            <w:vAlign w:val="bottom"/>
            <w:tcBorders>
              <w:left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study discontinuation</w:t>
            </w:r>
          </w:p>
        </w:tc>
        <w:tc>
          <w:tcPr>
            <w:tcW w:w="1180" w:type="dxa"/>
            <w:vAlign w:val="bottom"/>
            <w:tcBorders>
              <w:right w:val="single" w:sz="8" w:color="auto"/>
            </w:tcBorders>
            <w:shd w:val="clear" w:color="auto" w:fill="CCEEFF"/>
          </w:tcPr>
          <w:p>
            <w:pPr>
              <w:jc w:val="right"/>
              <w:ind w:right="7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0" w:type="dxa"/>
            <w:vAlign w:val="bottom"/>
            <w:tcBorders>
              <w:right w:val="single" w:sz="8" w:color="auto"/>
            </w:tcBorders>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40" w:type="dxa"/>
            <w:vAlign w:val="bottom"/>
            <w:tcBorders>
              <w:right w:val="single" w:sz="8" w:color="auto"/>
            </w:tcBorders>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320" w:type="dxa"/>
            <w:vAlign w:val="bottom"/>
            <w:tcBorders>
              <w:left w:val="single" w:sz="8" w:color="auto"/>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right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right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right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right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right w:val="single" w:sz="8" w:color="auto"/>
            </w:tcBorders>
            <w:shd w:val="clear" w:color="auto" w:fill="CCEEFF"/>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right w:val="single" w:sz="8" w:color="auto"/>
            </w:tcBorders>
            <w:gridSpan w:val="2"/>
          </w:tcPr>
          <w:p>
            <w:pPr>
              <w:ind w:left="100"/>
              <w:spacing w:after="0" w:line="162" w:lineRule="exact"/>
              <w:rPr>
                <w:sz w:val="20"/>
                <w:szCs w:val="20"/>
                <w:color w:val="auto"/>
              </w:rPr>
            </w:pPr>
            <w:r>
              <w:rPr>
                <w:rFonts w:ascii="Times New Roman" w:cs="Times New Roman" w:eastAsia="Times New Roman" w:hAnsi="Times New Roman"/>
                <w:sz w:val="18"/>
                <w:szCs w:val="18"/>
                <w:color w:val="auto"/>
              </w:rPr>
              <w:t>Subjects with any TEAE leading to</w:t>
            </w:r>
          </w:p>
        </w:tc>
        <w:tc>
          <w:tcPr>
            <w:tcW w:w="22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320" w:type="dxa"/>
            <w:vAlign w:val="bottom"/>
            <w:tcBorders>
              <w:left w:val="single" w:sz="8" w:color="auto"/>
            </w:tcBorders>
          </w:tcPr>
          <w:p>
            <w:pPr>
              <w:ind w:left="1980"/>
              <w:spacing w:after="0" w:line="41" w:lineRule="exact"/>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right w:val="single" w:sz="8" w:color="auto"/>
            </w:tcBorders>
          </w:tcPr>
          <w:p>
            <w:pPr>
              <w:spacing w:after="0"/>
              <w:rPr>
                <w:sz w:val="3"/>
                <w:szCs w:val="3"/>
                <w:color w:val="auto"/>
              </w:rPr>
            </w:pPr>
          </w:p>
        </w:tc>
        <w:tc>
          <w:tcPr>
            <w:tcW w:w="22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right w:val="single" w:sz="8" w:color="auto"/>
            </w:tcBorders>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( 3.1%)</w:t>
            </w:r>
          </w:p>
        </w:tc>
        <w:tc>
          <w:tcPr>
            <w:tcW w:w="2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1000" w:type="dxa"/>
            <w:vAlign w:val="bottom"/>
            <w:tcBorders>
              <w:right w:val="single" w:sz="8" w:color="auto"/>
            </w:tcBorders>
          </w:tcPr>
          <w:p>
            <w:pPr>
              <w:spacing w:after="0"/>
              <w:rPr>
                <w:sz w:val="3"/>
                <w:szCs w:val="3"/>
                <w:color w:val="auto"/>
              </w:rPr>
            </w:pPr>
          </w:p>
        </w:tc>
        <w:tc>
          <w:tcPr>
            <w:tcW w:w="2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tcPr>
          <w:p>
            <w:pPr>
              <w:spacing w:after="0"/>
              <w:rPr>
                <w:sz w:val="3"/>
                <w:szCs w:val="3"/>
                <w:color w:val="auto"/>
              </w:rPr>
            </w:pPr>
          </w:p>
        </w:tc>
        <w:tc>
          <w:tcPr>
            <w:tcW w:w="20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0</w:t>
            </w:r>
          </w:p>
        </w:tc>
        <w:tc>
          <w:tcPr>
            <w:tcW w:w="900" w:type="dxa"/>
            <w:vAlign w:val="bottom"/>
            <w:tcBorders>
              <w:righ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study drug discontinuation</w:t>
            </w:r>
          </w:p>
        </w:tc>
        <w:tc>
          <w:tcPr>
            <w:tcW w:w="11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320" w:type="dxa"/>
            <w:vAlign w:val="bottom"/>
            <w:tcBorders>
              <w:left w:val="single" w:sz="8" w:color="auto"/>
              <w:bottom w:val="single" w:sz="8" w:color="auto"/>
            </w:tcBorders>
            <w:vMerge w:val="continue"/>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DA-1726 Treatment of Obesity</w:t>
            </w: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35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DA-1726 is a novel OXM analogue functioning as a GLP1R and GCGR dual agonist. It is a long-acting, novel peptide drug candidate, with a Phase 1 investigational new drug (“IND”) approved by the FDA with therapeutic potential for obesity. Activation of GLP1R contributes to central anorexic effect (appetite suppression) and activation of GCGR peripherally enhances basal metabolic rate. Accordingly, non-clinical studies have shown that DA-1726 not only reduces food intake but also increases energy expenditure even at the basal resting state, leading to persistent weight loss in diet-induced obese mice and rats. DA-1726 directly lowers blood glucose and lipid levels in addition to the accompanying metabolic improvement by weight loss. Weight reduction is closely related to the alleviation of fatty liver. Having</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13" w:name="page14"/>
    <w:bookmarkEnd w:id="13"/>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stabilized the fragile peptide through several unique modifications, DA-1726 is predicted to be available as a once-weekly regimen to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71120</wp:posOffset>
            </wp:positionV>
            <wp:extent cx="4483100" cy="2305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8310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1"/>
        <w:spacing w:after="0"/>
        <w:rPr>
          <w:sz w:val="20"/>
          <w:szCs w:val="20"/>
          <w:color w:val="auto"/>
        </w:rPr>
      </w:pPr>
      <w:r>
        <w:rPr>
          <w:rFonts w:ascii="Times New Roman" w:cs="Times New Roman" w:eastAsia="Times New Roman" w:hAnsi="Times New Roman"/>
          <w:sz w:val="18"/>
          <w:szCs w:val="18"/>
          <w:b w:val="1"/>
          <w:bCs w:val="1"/>
          <w:i w:val="1"/>
          <w:iCs w:val="1"/>
          <w:color w:val="auto"/>
        </w:rPr>
        <w:t>Physiological effects of oxyntomodulin</w:t>
      </w:r>
    </w:p>
    <w:p>
      <w:pPr>
        <w:spacing w:after="0" w:line="158"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48"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Obesity is a disease caused by abnormal or excessive fat accumulation due to an imbalance in energy intake and consumption over a long period of time. According to the World Health Organization (“WHO”), in 2022, there were 2.5 billion adults (18 years and older), and approximately 43% of all adults were overweight and 890 million, or approximately 16%, were living with obesity. In 2024, the NCD Risk Factor Collaboration published findings that estimate that more than one billion people in the world are now living with obesity and nearly 3 billion people are living with either overweight or obesity. The comorbidities of obesity include T2DM, cardiovascular disease, hypertension and MASH, and the risk of these diseases is higher in obese people than in non-obese people.</w:t>
      </w:r>
    </w:p>
    <w:p>
      <w:pPr>
        <w:spacing w:after="0" w:line="1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The treatment of obesity can be divided into three mechanisms: (i) appetite control, (ii) absorption inhibition, and</w:t>
      </w:r>
    </w:p>
    <w:p>
      <w:pPr>
        <w:spacing w:after="0" w:line="27" w:lineRule="exact"/>
        <w:rPr>
          <w:sz w:val="20"/>
          <w:szCs w:val="20"/>
          <w:color w:val="auto"/>
        </w:rPr>
      </w:pPr>
    </w:p>
    <w:p>
      <w:pPr>
        <w:jc w:val="both"/>
        <w:ind w:left="1" w:hanging="1"/>
        <w:spacing w:after="0" w:line="248" w:lineRule="auto"/>
        <w:tabs>
          <w:tab w:leader="none" w:pos="3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energy expenditure. Currently, there are a total of eight approved anti-obesity medications on the market, of which the most notable are Novo Nordisk semaglutide (WEGOVY</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and Eli Lilly tirzepatid (Zepbound</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However, there is still an unmet need in the market as there are no agents with a mechanism to reduce body weight by increasing energy expenditure in peripheral tissue.</w:t>
      </w:r>
    </w:p>
    <w:p>
      <w:pPr>
        <w:spacing w:after="0" w:line="125"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Oxyntomodulin is a gut hormone released from intestinal L-cells after meal ingestion and represents dual agonism of the GLP-1 receptor and glucagon receptor. It increases energy expenditure through glucagon receptors and increases appetite suppression and insulin secretion through GLP-1 receptor activation, ultimately inducing weight loss and glycemic control. The furthest stage of development of any oxyntomodulin analogue are survudutide and mazdutide in Phase 3 trials in the U.S., mazdutide which is approved in China, and in Phase 2 trial in the U.S. for the treatment of obesity and MASH.</w:t>
      </w:r>
    </w:p>
    <w:p>
      <w:pPr>
        <w:spacing w:after="0" w:line="332"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18"/>
          <w:szCs w:val="18"/>
          <w:b w:val="1"/>
          <w:bCs w:val="1"/>
          <w:color w:val="auto"/>
        </w:rPr>
        <w:t>DA-1726 Preclinical Development</w:t>
      </w:r>
    </w:p>
    <w:p>
      <w:pPr>
        <w:spacing w:after="0" w:line="148"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Animal toxicity studies of DA-1726 for the Phase 1 clinical trial have been completed. The toxicity studies included safety pharmacology studies and general toxicity studies.</w:t>
      </w:r>
    </w:p>
    <w:p>
      <w:pPr>
        <w:spacing w:after="0" w:line="94" w:lineRule="exact"/>
        <w:rPr>
          <w:sz w:val="20"/>
          <w:szCs w:val="20"/>
          <w:color w:val="auto"/>
        </w:rPr>
      </w:pPr>
    </w:p>
    <w:p>
      <w:pPr>
        <w:jc w:val="both"/>
        <w:ind w:left="1"/>
        <w:spacing w:after="0" w:line="275" w:lineRule="auto"/>
        <w:rPr>
          <w:sz w:val="20"/>
          <w:szCs w:val="20"/>
          <w:color w:val="auto"/>
        </w:rPr>
      </w:pPr>
      <w:r>
        <w:rPr>
          <w:rFonts w:ascii="Times New Roman" w:cs="Times New Roman" w:eastAsia="Times New Roman" w:hAnsi="Times New Roman"/>
          <w:sz w:val="18"/>
          <w:szCs w:val="18"/>
          <w:color w:val="auto"/>
        </w:rPr>
        <w:t>The mode of action and pharmacological effects of DA-1726 were evaluated in various disease models. In high-fat diet-induced obese (“HF-DIO”) mice, DA-1726 showed more body weight loss and increasing energy expenditure than a pair-fed group.</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591820</wp:posOffset>
            </wp:positionV>
            <wp:extent cx="5469255" cy="1671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6925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Mean energy expenditure: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DA-1726*</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16.6 kcal/kg/hr</w:t>
      </w:r>
    </w:p>
    <w:p>
      <w:pPr>
        <w:ind w:left="6200"/>
        <w:spacing w:after="0"/>
        <w:rPr>
          <w:sz w:val="20"/>
          <w:szCs w:val="20"/>
          <w:color w:val="auto"/>
        </w:rPr>
      </w:pPr>
      <w:r>
        <w:rPr>
          <w:rFonts w:ascii="Times New Roman" w:cs="Times New Roman" w:eastAsia="Times New Roman" w:hAnsi="Times New Roman"/>
          <w:sz w:val="14"/>
          <w:szCs w:val="14"/>
          <w:color w:val="auto"/>
        </w:rPr>
        <w:t>Pair-Fed 12.4 kcal/kg/hr</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HF Control 12.6 kcal/kg/hr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comparison with GLP-1 analogue, DA-1726 represented superior body weight loss compared to semaglutide in HF-DIO obese mice. At the end of the study, DA-1726 significantly increased the expression of thermogenic genes (</w:t>
      </w:r>
      <w:r>
        <w:rPr>
          <w:rFonts w:ascii="Times New Roman" w:cs="Times New Roman" w:eastAsia="Times New Roman" w:hAnsi="Times New Roman"/>
          <w:sz w:val="18"/>
          <w:szCs w:val="18"/>
          <w:i w:val="1"/>
          <w:iCs w:val="1"/>
          <w:color w:val="auto"/>
        </w:rPr>
        <w:t xml:space="preserve">Ucp-1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Ppargc1a</w:t>
      </w:r>
      <w:r>
        <w:rPr>
          <w:rFonts w:ascii="Times New Roman" w:cs="Times New Roman" w:eastAsia="Times New Roman" w:hAnsi="Times New Roman"/>
          <w:sz w:val="18"/>
          <w:szCs w:val="18"/>
          <w:color w:val="auto"/>
        </w:rPr>
        <w:t>) in epididymal fat and increased white adipose tissue browning was histologically confirmed.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DA-1726 inhibited adipocyte differentiation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Taken together, it suggests the GCGR action of DA-1726 contributes to reduced adiposity by enhancing fat burning and inhibiting adipogenesis. DA-1726 effectively reduced postprandial glucose excursion in acute oral glucose tolerance test in normal mice. Notably, DA-1726 showed similar glycemic control and excellent weight loss to semaglutide in obese mice with hyperglycemia. Simultaneously, DA-1726 enhanced insulin sensitivity by significantly reducing fasting plasma insulin and glucose levels. Meanwhile, DA-1726 showed no hypoglycemia risk in overnight fasted normal mice, unlike semaglutide.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comparison with GLP-1 receptor and GIP dual agonist tirzepatide in HF-DIO obese MASH mice, DA-1726 showed similar body weight while consuming significantly more food. In addition, DA-1726 reduced plasma clinical chemistry parameters (ALT, AST, ALP, T-BIL, glucose, and cholesterol) and hepatic fat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71755</wp:posOffset>
            </wp:positionV>
            <wp:extent cx="5589270" cy="1954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927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Notes: HF-DIO (High Fat-Diet Induced Obesity); BWL (Body Weight Loss)</w:t>
      </w:r>
    </w:p>
    <w:p>
      <w:pPr>
        <w:spacing w:after="0" w:line="27" w:lineRule="exact"/>
        <w:rPr>
          <w:sz w:val="20"/>
          <w:szCs w:val="20"/>
          <w:color w:val="auto"/>
        </w:rPr>
      </w:pPr>
    </w:p>
    <w:p>
      <w:pPr>
        <w:ind w:left="3580" w:hanging="314"/>
        <w:spacing w:after="0"/>
        <w:tabs>
          <w:tab w:leader="none" w:pos="35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Dong-A Study Report 105497. All treatments given as twice weekly injections.</w:t>
      </w:r>
    </w:p>
    <w:p>
      <w:pPr>
        <w:spacing w:after="0" w:line="14" w:lineRule="exact"/>
        <w:rPr>
          <w:rFonts w:ascii="Times New Roman" w:cs="Times New Roman" w:eastAsia="Times New Roman" w:hAnsi="Times New Roman"/>
          <w:sz w:val="14"/>
          <w:szCs w:val="14"/>
          <w:color w:val="auto"/>
        </w:rPr>
      </w:pPr>
    </w:p>
    <w:p>
      <w:pPr>
        <w:ind w:left="3580" w:hanging="314"/>
        <w:spacing w:after="0"/>
        <w:tabs>
          <w:tab w:leader="none" w:pos="35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Jung I-H et al. 83rd Meeting of the American Diabetes Association. 2023; Abstract 1668-P.</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Weight loss and plasma biochemistry analysis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DA-1726 Phase 1 Trial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currently conducting a Phase 1 trial in the U.S. </w:t>
      </w:r>
      <w:r>
        <w:rPr>
          <w:rFonts w:ascii="Times New Roman" w:cs="Times New Roman" w:eastAsia="Times New Roman" w:hAnsi="Times New Roman"/>
          <w:sz w:val="18"/>
          <w:szCs w:val="18"/>
          <w:color w:val="auto"/>
        </w:rPr>
        <w:t>The Phase 1 trial, a first-in-human trial, is a randomized, placebo-controlled, double-blind, two-part study to investigate the safety, tolerability, PK, and PD of single and multiple ascending doses of DA-1726 in obese, otherwise healthy subjects. In September 2024, we announced positive top-line data from the</w:t>
      </w:r>
    </w:p>
    <w:p>
      <w:pPr>
        <w:sectPr>
          <w:pgSz w:w="11900" w:h="16838" w:orient="portrait"/>
          <w:cols w:equalWidth="0" w:num="1">
            <w:col w:w="9240"/>
          </w:cols>
          <w:pgMar w:left="1320" w:top="513" w:right="13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planned SAD Part 1 of our Phase 1 trial evaluating DA-1726. Thereafter, we completed enrollment in the SAD Part 1 additional cohort. In the SAD Part 1 study, the patients were enrolled into one of six cohorts and each cohort was randomized in a 6:3 ratio of DA-1726 or placebo. Part 2 is a MAD study, with the first patient dosed in June 2024 and is expected to enroll approximately 36 participants, who will be enrolled into four cohorts, each to receive 4 weekly administrations of DA-1726 or placebo. We are </w:t>
      </w:r>
      <w:r>
        <w:rPr>
          <w:rFonts w:ascii="Times New Roman" w:cs="Times New Roman" w:eastAsia="Times New Roman" w:hAnsi="Times New Roman"/>
          <w:sz w:val="18"/>
          <w:szCs w:val="18"/>
          <w:color w:val="212529"/>
        </w:rPr>
        <w:t>expecting top-line results from the MAD Part 2 study of our Phase 1 trial in April 2025.</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endpoint for SAD Part 1 and MAD Part 2 of our Phase 1 trial is to assess the safety and tolerability of DA-1726 by monitoring AEs, SAEs, TEAEs and AEs leading to treatment discontinuation. Secondary endpoints include the PK of DA-1726, assessed via serum concentrations over time and metabolite profiling at the highest doses of DA-1726. Exploratory endpoints will include the effect of DA-1726 on metabolic parameters, cardiac parameters, fasting lipid levels, body weight, waist circumference and body mass index, among others.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Product Candidates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focusing our financial resources and management’s attention on the development of DA-1241 for MASH and DA-1726 for obesity. We also have four legacy therapeutic programs, ANA001, NB-01, NB-02 and Gemcabene, that we are not planning to advance development on. We continue to consider out-licensing and divestiture opportunities with respect to the following legacy programs.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ANA001 Treatment of COVID-19 Symptoms</w:t>
      </w:r>
    </w:p>
    <w:p>
      <w:pPr>
        <w:spacing w:after="0" w:line="16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ANA001 is a proprietary oral niclosamide formulation that was developed as a treatment for patients with moderate COVID-19 (patients not requiring ventilators). Niclosamide is a potential oral antiviral and anti-inflammatory agent with a long history of use and documented safety in humans. Niclosamide has demonstrated both antiviral and immunomodulatory activity with possible downstream effects on coagulation abnormalities observed in COVID-19. In preclinical research by an independent academic group published in Antimicrobial Agents and Chemotherapy, niclosamide inhibited viral replication in vitro and was more potent than remdesivir and chloroquine in the same assay.</w:t>
      </w:r>
    </w:p>
    <w:p>
      <w:pPr>
        <w:spacing w:after="0" w:line="108"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We believe ANA001 has the potential to reduce the viral load and inflammation associated with cytokine dysregulation, acute respiratory distress syndrome, and coagulation abnormalities and thus improve time to clinical improvement as defined as hospital discharge recorded using the WHO Ordinal Scale for Clinical Improvement.</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NB-01</w:t>
      </w:r>
    </w:p>
    <w:p>
      <w:pPr>
        <w:spacing w:after="0" w:line="148"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NB-01 addresses a range of mechanisms that contribute to neuropathic pain and nerve degeneration in diabetic and other peripheral neuropathies. These include a decrease in key inflammatory markers, restoration of nerve growth factor (“NGF”) to normal levels, and reduction of advanced glycation end products (“AGEs”). Inflammation is a central factor in pain generation and other peripheral neurodegenerative diseases. NB-01 reduces levels of TNF-a and IL-6, both of which are markers of inflammation. NB-01 also reduces AGEs, which are implicated in diabetes-related complications. AGE inhibitors have been clinically tested as potential treatments for these complications. NB-01 also restores the neurotrophin NGF, which is involved in nerve growth, maintenance and repair. NB-01 has been shown in animal models to alleviate symptoms of PDN.</w:t>
      </w:r>
    </w:p>
    <w:p>
      <w:pPr>
        <w:spacing w:after="0" w:line="124"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In July 2024, we entered into an exclusive out-license agreement with MThera to provide MThera with the rights to NB-01 for the treatment of painful diabetic neuropathy.</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NB-02</w:t>
      </w:r>
    </w:p>
    <w:p>
      <w:pPr>
        <w:spacing w:after="0" w:line="162"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NB-02 was being developed for the symptomatic and disease modifying treatment of neurodegenerative diseases, including Alzheimer's disease and tauopathies. In preclinical studies, we have observed the mechanisms of action of NB-02 to include inhibition of tau phosphorylation, acetylcholinesterase (“AChE”) inhibition, inhibition of Ab toxicity and amyloid plaque formation, and anti-inflammatory effects. Specifically, in both in-vitro and in-vivo models, NB-02 has demonstrated inhibition of AChE, as is the case with three of the current products on the market to treat the symptoms of Alzheimer's disease. It has also demonstrated inhibition of tau phosphorylation and of amyloid plaque formation, both mechanisms believed to contribute to the progression of neurodegenerative diseases.</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Gemcabene</w:t>
      </w:r>
    </w:p>
    <w:p>
      <w:pPr>
        <w:spacing w:after="0" w:line="162"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Gemcabene is a novel, once-daily, oral therapy designed to target known lipid metabolic pathways to lower levels of LDL-C, hsCRP and triglycerides. Gemcabene shares many of the attributes of statin therapy, including broad therapeutic applications, convenient route of administration and cost-effective manufacturing process, but does not appear to increase the reporting of myalgia when added to statin therapy. Gemcabene has also shown additive LDL-</w:t>
      </w:r>
    </w:p>
    <w:p>
      <w:pPr>
        <w:sectPr>
          <w:pgSz w:w="11900" w:h="16838" w:orient="portrait"/>
          <w:cols w:equalWidth="0" w:num="1">
            <w:col w:w="9240"/>
          </w:cols>
          <w:pgMar w:left="1320" w:top="513" w:right="1339" w:bottom="144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6" w:name="page17"/>
    <w:bookmarkEnd w:id="16"/>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41"/>
        <w:spacing w:after="0" w:line="266" w:lineRule="auto"/>
        <w:rPr>
          <w:sz w:val="20"/>
          <w:szCs w:val="20"/>
          <w:color w:val="auto"/>
        </w:rPr>
      </w:pPr>
      <w:r>
        <w:rPr>
          <w:rFonts w:ascii="Times New Roman" w:cs="Times New Roman" w:eastAsia="Times New Roman" w:hAnsi="Times New Roman"/>
          <w:sz w:val="18"/>
          <w:szCs w:val="18"/>
          <w:color w:val="auto"/>
        </w:rPr>
        <w:t>C lowering in combination with stable low, moderate or high-intensity statin therapy. As described below, we licensed global rights to Gemcabene from Pfizer in April 2011. Under the terms of the amended and restated license agreement with Pfizer, Pfizer may terminate the license if we have not made a commercial sale by April 2024.</w:t>
      </w:r>
    </w:p>
    <w:p>
      <w:pPr>
        <w:spacing w:after="0" w:line="9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License Agreement with Dong-A for DA-1241 and DA-1726</w:t>
      </w:r>
    </w:p>
    <w:p>
      <w:pPr>
        <w:spacing w:after="0" w:line="148" w:lineRule="exact"/>
        <w:rPr>
          <w:sz w:val="20"/>
          <w:szCs w:val="20"/>
          <w:color w:val="auto"/>
        </w:rPr>
      </w:pPr>
    </w:p>
    <w:p>
      <w:pPr>
        <w:jc w:val="both"/>
        <w:ind w:left="1"/>
        <w:spacing w:after="0" w:line="256" w:lineRule="auto"/>
        <w:rPr>
          <w:sz w:val="20"/>
          <w:szCs w:val="20"/>
          <w:color w:val="auto"/>
        </w:rPr>
      </w:pPr>
      <w:r>
        <w:rPr>
          <w:rFonts w:ascii="Times New Roman" w:cs="Times New Roman" w:eastAsia="Times New Roman" w:hAnsi="Times New Roman"/>
          <w:sz w:val="18"/>
          <w:szCs w:val="18"/>
          <w:color w:val="auto"/>
        </w:rPr>
        <w:t>In September 2022, we entered into an exclusive license agreement (the “2022 License Agreement”) and a Securities Purchase Agreement with Dong-A (the “Securities Purchase Agreement”). Pursuant to the 2022 License Agreement and subject to the conditions set forth therein, we received an exclusive global license (excluding the Republic of Korea) to two proprietary compounds for specified indications. The 2022 License Agreement covers the rights to a compound referred to as DA-1241 for treatment of MASH and T2DM and a compound referred to as DA-1726 for treatment of obesity and MASH. The 2022 License Agreement became effective in November 2022.</w:t>
      </w:r>
    </w:p>
    <w:p>
      <w:pPr>
        <w:spacing w:after="0" w:line="106"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Under the terms of the 2022 License Agreement, Dong-A (i) received an upfront payment which was settled in 2,200 shares of preferred stock of MetaVia designated as “Series A Convertible Preferred Stock”, par value $0.001 per share (which was subsequently converted into shares of our common stock), under the terms of the Securities Purchase Agreement; (ii) is eligible to receive single digit royalties on net sales received by us from the commercial sale of products covering DA-1241 or DA-1726; (iii) is eligible to receive commercial-based milestone payments, dependent upon the achievement of specific commercial developments; and (iv) is eligible to receive regulatory milestone payments of up to $178.0 million for DA-1726 and $138.0 million for DA-1241, dependent upon the achievement of specific regulatory developments.</w:t>
      </w:r>
    </w:p>
    <w:p>
      <w:pPr>
        <w:spacing w:after="0" w:line="120"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8"/>
          <w:szCs w:val="18"/>
          <w:color w:val="auto"/>
        </w:rPr>
        <w:t>Our obligation to pay royalties to Dong-A under the 2022 License Agreement continues on a product-by-product and country- by-country basis until the later of (i) the fifth anniversary of the first commercial sale of such product in such country, (ii) the expiration or termination of the last valid patent claim that covers a product in such country and (iii) the loss of regulatory exclusivity for such product in such jurisdiction. Either we or Dong-A may terminate the 2022 License Agreement (i) if the other party is in material breach of the agreement and has not cured or started to cure the breach within 60 days of notice of such breach; provided that if the breach cannot be cured within the 60-day period and the breaching party started to remedy the breach, if such breach is not cured within 90 days of receipt of written notice or</w:t>
      </w:r>
    </w:p>
    <w:p>
      <w:pPr>
        <w:spacing w:after="0" w:line="2" w:lineRule="exact"/>
        <w:rPr>
          <w:sz w:val="20"/>
          <w:szCs w:val="20"/>
          <w:color w:val="auto"/>
        </w:rPr>
      </w:pPr>
    </w:p>
    <w:p>
      <w:pPr>
        <w:ind w:left="1" w:hanging="1"/>
        <w:spacing w:after="0" w:line="260" w:lineRule="auto"/>
        <w:tabs>
          <w:tab w:leader="none" w:pos="3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other party is subject to a bankruptcy or insolvency event (subject to a 30-day cure period in the case of a petition for bankruptcy).</w:t>
      </w:r>
    </w:p>
    <w:p>
      <w:pPr>
        <w:spacing w:after="0" w:line="9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License Agreement with Dong-A for NB-01</w:t>
      </w:r>
    </w:p>
    <w:p>
      <w:pPr>
        <w:spacing w:after="0" w:line="16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an exclusive license agreement with Dong-A (the “2018 License Agreement”), which agreement was amended in April 2018 and July 2019. Under the terms of the 2018 License Agreement, we obtained an exclusive, royalty-bearing, worldwide (except for the Republic of Korea) license to make, use, offer to sell, sell and import products covered by certain Dong-A intellectual property rights in its proprietary compound designated as DA-9801 (NB-01). Our license rights cover any and all applications and markets for the therapeutic, health, nutrition or well-being of humans. We may grant sublicenses to any affiliate or third party. We are responsible for all future patent prosecution costs.</w:t>
      </w:r>
    </w:p>
    <w:p>
      <w:pPr>
        <w:spacing w:after="0" w:line="108"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develop products for use in each of the U.S., the European Union, Japan and the People's Republic of China. If we terminate, discontinue or suspend, for longer than 12 months, the development of any product listed as a product under development in any development plan provided to Dong-A (other than for reasons of force majeure or requirements of applicable law), then we are deemed in breach of this development obligation, and Dong-A may terminate the 2018 License Agreement for cause after a 60-day cure period.</w:t>
      </w:r>
    </w:p>
    <w:p>
      <w:pPr>
        <w:spacing w:after="0" w:line="102" w:lineRule="exact"/>
        <w:rPr>
          <w:sz w:val="20"/>
          <w:szCs w:val="20"/>
          <w:color w:val="auto"/>
        </w:rPr>
      </w:pPr>
    </w:p>
    <w:p>
      <w:pPr>
        <w:jc w:val="both"/>
        <w:ind w:left="1"/>
        <w:spacing w:after="0" w:line="256" w:lineRule="auto"/>
        <w:rPr>
          <w:sz w:val="20"/>
          <w:szCs w:val="20"/>
          <w:color w:val="auto"/>
        </w:rPr>
      </w:pPr>
      <w:r>
        <w:rPr>
          <w:rFonts w:ascii="Times New Roman" w:cs="Times New Roman" w:eastAsia="Times New Roman" w:hAnsi="Times New Roman"/>
          <w:sz w:val="18"/>
          <w:szCs w:val="18"/>
          <w:color w:val="auto"/>
        </w:rPr>
        <w:t>The term of the 2018 License Agreement continues on a country-by country and product-by-product basis until the later of the 12th anniversary of the first commercial sale of such product in such country or expiration or termination of the last valid claim within the patent rights covering the product. Either Dong-A or we may terminate the 2018 License Agreement if the other party is in material breach of the 2018 License Agreement and has not cured or started to cure the breach within 60 days of notice of such breach, or is subject to a bankruptcy or insolvency event. We may terminate the 2018 License Agreement at any time upon 90 days’ written notice.</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Pfizer License Agreement</w:t>
      </w:r>
    </w:p>
    <w:p>
      <w:pPr>
        <w:spacing w:after="0" w:line="162"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In August 2018, an Amended and Restated License Agreement with Pfizer (the “Pfizer Agreement”) for the research, development, manufacture and commercialization of Gemcabene went into effect. The Pfizer Agreement amended and restated the prior license agreement with Pfizer dated April 16, 2011. The Pfizer Agreement includes milestone payments to Pfizer and tiered royalties on a country-by-country basis based upon the annual amount of net sales as specified in the Pfizer Agreement.</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Pfizer Agreement will expire upon expiration of the last royalty term. Either party may terminate the Pfizer Agreement for the other party's material breach following a cure period or immediately upon certain insolvency events relating to the other party. Pfizer may immediately terminate the Pfizer Agreement in the event that (i) we or any of our affiliates or sublicenses contests or challenges, or supports or assists any third party to contest or challenge, Pfizer's ownership of or rights in, or the validity, enforceability or scope of any of the patents licensed under the Pfizer Agreement or (ii) we or any of our affiliates or sublicensees fails to achieve the first commercial sale in at least one country by April 16,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Beijing SL</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and conditions of a License and Collaboration Agreement dated July 23, 2019 (the “Beijing SL License Agreement”), Beijing SL has an exclusive royalty-bearing license to research, develop, manufacture and commercialize pharmaceutical products comprising, as an active ingredient, Gemcabene in the territory comprised of mainland China, Hong Kong, Macau and Taiwan. We retain all rights to Gemcabene outside of the territory. The parties have agreed to collaborate with respect to development and commercialization activities under the Beijing SL License Agreement through a joint steering committee composed of an equal number of representatives of Beijing SL and us.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Beijing SL License Agreement, Beijing SL made an upfront gross payment of $2.5 million. Additionally, with respect to each licensed product, Beijing SL will make payments for specified developmental and regulatory milestones and payments for specified global net sales milestones. Beijing SL will also be obligated to pay tiered royalties ranging from the mid-teens to twenty percent on the net sales of all licensed products in the territory until the latest of (a) the date on which any applicable regulatory exclusivity with respect to such Licensed Product expires in such region, (b) the expiration or abandonment of the last valid patent claim or joint patent claim covering such Licensed Product in each region and (c) the fifth anniversary of the first commercial sale of such Licensed Product in such region.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Either party may terminate the Beijing SL License Agreement (x) with written notice for the other party's material breach following a cure period or (y) if the other party becomes subject to certain insolvency proceedings. In addition, we may terminate the Beijing SL License Agreement in its entirety if Beijing SL or its affiliates or sublicensees commence a proceeding challenging the validity, enforceability or scope of any of our patents.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Dong-A manufactures clinical quantities of DA-1241 and DA-1726 in accordance with the 2022 License Agreement and the Shared Services Agreement. As MetaVia advances the product candidates through clinical development our current plans are to continue to use third parties including Dong-A to manufacture drug products for our trials.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the conditions for FDA approval of a pharmaceutical product is the requirement that the manufacturer’s quality control and manufacturing procedures conform to cGMP.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We face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competitors may have significantly greater financial resources and expertise in R&amp;D, manufacturing, preclinical testing, conducting clinical trials, obtaining regulatory approvals and marketing approved products than we do. Other firms may also compete with us in recruiting and retaining qualified scientific and management personnel and establishing clinical trial sites and patient enrollment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early-stage companies may also prove to be significant competitors with us, particularly through collaborative arrangements with large established companies.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therapeutics that are safer, more effective, have fewer or less severe side effects, are more convenient or are less expensive than any products that we may develop. Our competitors also may obtain marketing approvals for their products more rapidly than we may obtain approval for our products, which could result in our competitors establishing a strong market position before we are able to</w:t>
      </w:r>
    </w:p>
    <w:p>
      <w:pPr>
        <w:sectPr>
          <w:pgSz w:w="11900" w:h="16838" w:orient="portrait"/>
          <w:cols w:equalWidth="0" w:num="1">
            <w:col w:w="9240"/>
          </w:cols>
          <w:pgMar w:left="1320" w:top="513" w:right="13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enter the market. In addition, our ability to compete may be affected because in some cases insurers or other third-party payors, including government programs, seek to encourage the use of generic products. This may have the effect of making branded products less attractive from a cost perspective to buyers.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DA-1241 MASH</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only one approved treatment of MASH, Madrigal Pharmaceuticals’ thyroid hormone receptor beta agonist. However, various therapeutics are used off-label for the treatment of MASH, including vitamin E (an antioxidant), insulin sensitizers (e.g., metformin, pioglitazone), antihyperlipidemic agents (e.g., gemfibrozil), pentoxifylline and ursodeoxycholic acid (UDCA). There are several product candidates in Phase 3 or earlier clinical or preclinical development for the treatment of MASH, including Novo Nordisk’s GLP1R agonist semaglutide, Eli Lilly’s GLP1R and GIP dual agonist tirzepatide, Akero Therapeutics’s FGF21 analog efruxifermin, 89 Bio’s FGF21 analog pegaozafermin, Inventiva’s pan-peroxisome proliferator-activated receptor agonist, Boston Pharmaceuticals and Roche’s fibroblast growth factor 21 analogs, and farnesoid X receptor agonists from Intercept Pharmaceuticals Inc., among others. Additional pharmaceutical and biotechnology companies with product candidates in development for the treatment of MASH include AstraZeneca plc, Altimmune Inc., Boehringer Ingelheim GmbH, Bristol-Myers Squibb Company, Durect Corporation, Galectin Therapeutics Inc., Galmed Pharmaceuticals Ltd., Immuron Ltd., Ionis Pharmaceuticals, Inc., Islet Sciences, Inc., MediciNova, Inc., NGM Biopharmaceuticals, Inc., NuSirt Sciences Inc., Pfizer Inc., Viking Therapeutics, Inc. and Zydus Pharmaceuticals (USA) Inc. MASH is a complex disease and we believe that it is unlikely that any one therapeutic option will be optimal for every MASH patient.</w:t>
      </w:r>
    </w:p>
    <w:p>
      <w:pPr>
        <w:spacing w:after="0" w:line="3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DA-1726-Obesity</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Due to the growing overweight and obesity epidemic and consumer demand, there are many competitors in the field of obesity treatment. Obesity treatments range from behavioral modification to drugs, medical devices and surgery, generally as a last resort. If DA-1726 were approved for obesity, our primary competition in the obesity treatment market would currently be from approved and marketed products, including semaglutide (WEGOVY</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and tirzepatide (Zepbound®). Further competition could arise from products currently in development, including among others, with GLP1R/GCGR dual agonists, Boehringer Ingelheim, Merck/Hanmi Pharmaceutical, AstraZeneca, Altimmune, Innovent Biologics/Eli Lilly, Carmot and D&amp;D Pharma; with GLP1R/GCGR/GIP triple agonists, Hanmi Pharmaceutical and Eli Lilly; Amgen with its GLP-1R agonist/GIP antagonist antibody; and Novo Nordisk with Amylin and Amylin-GLP-1 combination. To the extent our product candidate is approved for obesity, the commercial success of our product will also depend on our ability to demonstrate benefits over the then-prevailing standard of care. Finally, morbidly obese patients sometimes undergo a gastric bypass procedure, with salutary effects on the many co-morbid conditions of obesity.</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DA-1241 T2DM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T2DM.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including the U.S., the patent term is 20 years from the earliest filing date of a non-provisional patent application or a Patent Cooperation Treaty (“PCT”) application to which a U.S. application claims priority. In the U.S., a patent's term may be lengthened by patent term adjustment, which compensates a patentee for administrative delays by the U.S. Patent and Trademark Office (“USPTO”) in examining and granting a patent, or may be shortened if a patent is terminally disclaimed over an earlier filed patent. The term of a U.S. patent that covers a drug or biological product may also be eligible for patent term extension when approval from the FDA is granted, provided statutory and regulatory requirements are met. In the future, if our product candidates receive approval from the FDA or foreign regulatory authorities, we expect to apply for patent term extensions on issued patents covering those products, depending upon the length of the clinical trials for each drug and/or other factors. There can be no assurance that any of our pending patent applications will be issued or that we will benefit from any patent term extension or other favorable adjustment to the term of any patents.</w:t>
      </w:r>
    </w:p>
    <w:p>
      <w:pPr>
        <w:sectPr>
          <w:pgSz w:w="11900" w:h="16838" w:orient="portrait"/>
          <w:cols w:equalWidth="0" w:num="1">
            <w:col w:w="9240"/>
          </w:cols>
          <w:pgMar w:left="1320" w:top="513" w:right="1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product candidates, preclinical compounds, and core technologies will depend on our success in obtaining effective patent claims and enforcing those claims if granted. However, patent applications that we may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prior to March 16, 2013, in the U.S., patent applications were subject to a “first to invent” rule of law. Applications effectively filed on or after March 16, 2013, are subject to a “first to file” rule of law.</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Discoveries reported in the scientific literature often lag the actual discoveries, and patent applications in the U.S. and other jurisdictions are typically not published until 18 months after filing, or in some cases not at all. We cannot be certain that any existing application will be subject to the “first to file” or “first to invent” rule of law, that we or our licensor were the first to make the inventions claimed in our existing patent portfolio subject to the prior laws, or that we or our licensor were the first to file for patent protection of such inventions subject to the new laws. If third parties prepare and file patent applications in the U.S. that also claim technology we have claimed in our patents or patent applications, we may have to participate in interference or derivation proceedings and/or invalidation proceedings in the USPTO, which could result in substantial costs to us, even if the eventual outcome is favorable.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reducing any advantage of any such patent.</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know-how, and continuing technological innovation to develop and maintain our competitive position. We seek to protect our proprietary information, in part, by using confidentiality agreements with our collaborators, scientific advisors, employees and consultants, and invention assignment agreements with our employees. We also have agreements requiring assignment of inventions with selected consultants, scientific advisors and collaborators. Confidentiality agreements are designed to protect our proprietary information and, in the case of agreements or clauses requiring invention assignment, to grant us ownership of technologies that are developed under those agreements.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commercialize product candidates depends in large part on our ability to obtain and maintain intellectual property protection for our product candidates. Our policy is to seek to protect our intellectual property position by, among other methods, filing U.S. and foreign patent applications related to the technology, inventions and improvements that are important to the development and implementation of our business strategy. We also rely on trade secrets, know-how and continuing technological innovation to develop and maintain our proprietary position.</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DA-1241</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our exclusively licensed intellectual property portfolio for DA-1241 includes one U.S. patent directed to both composition of matter and a process of making the composition, one U.S. non-provisional patent directed to both composition of matter and use of the composition and two U.S. non-provisional patent applications directed to both composition of matter and use of the composition. The two issued U.S. patents are expected to expire in July 2035, excluding any additional term for patent term adjustments or patent term extensions. MetaVia’s intellectual property portfolio for DA-1241 also includes 28 non-U.S. patents and 33 non-U.S. patent applications directed to composition of matter and/or use of the composition. The issued non-U.S. patents are expected to expire between 2035 and 2041, excluding any additional term for patent term adjustments or patent term extensions. The jurisdictions for the non-U.S. patents and applications include: Australia, Brazil, Canada, China, the European Patent Convention, Hong Kong, India, Israel, Japan, Mexico, New Zealand, Philippines, Republic of Korea, Russia, Saudi Arabia, and Singapore.</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DA-1726</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our exclusively licensed intellectual property portfolio for DA-1726 includes two U.S. patents directed to both composition of matter and use of the composition and one U.S. non-provisional patent application directed to both composition of matter and use of the composition. The issued U.S. patent is expected to expire in 2041, excluding any additional term for patent term adjustments or patent term extensions. Our intellectual property portfolio for DA-1726 also includes 19 non-U.S. patents and 16 non-U.S. patent applications directed to composition of matter and/or use of the composition. The issued non-U.S. patents is expected to expire between 2038 and 2041, excluding any additional term for patent term adjustments or patent term extensions. The jurisdictions for the non-U.S. patents and applications include: Australia, Brazil, Canada, China, the European Patent Convention, Hong Kong, India, Israel, Japan, Mexico, New Zealand, Philippines, Republic of Korea, Russia, Saudi Arabia and Singapore.</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NB-01 and NB-02</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our intellectual property portfolio for NB-01 included four issued U.S. patents, comprised of one patent directed to composition of matter and three patents directed to use, and 66 granted foreign patents, all related to our NB-01 programs in peripheral neuropathy and neurological conditions. The issued patents have expiration dates ranging between October 2026 and July 2038. The jurisdictions for the foreign patents and application include: Brazil, China, the European Patent Convention (including Austria, Belgium, Finland, France, Germany, Greece, Hungary, Italy, Netherlands, Poland, Portugal, Romania, Spain, Switzerland, Turkey, and the United Kingdom), India, Japan, the Republic of Korea, and Russia.</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our intellectual property portfolio for NB-02 included three issued U.S. patents, 74 foreign granted patents, and 1 foreign patent application. The issued patents have an expiration date between December 2035 and March 2040. The jurisdictions for the foreign patents and applications include: Brazil, Canada, China, the European Patent Convention (including Austria, Belgium, Finland, France, Germany, Greece, Hungary, Italy, Netherlands, Poland, Portugal, Romania, Spain, Switzerland, Turkey, and the United Kingdom), India, Japan, Mexico, the Republic of Korea, and Russia. All of the above patents and patent applications for NB-02 were assigned to us.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Gemcabene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our intellectual property portfolio relating to Gemcabene included six issued U.S. patents, two pending U.S. patent applications, and two foreign-granted patents directed to formulations, compositions, methods of use and methods of manufacturing. The Gemcabene intellectual property are MTVA owned for the issued and pending patents in the U.S. and foreign jurisdictions. The issued patents in the U.S. and foreign countries have expiration dates between December 2031 and November 2040.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authorities at the federal, state and local level in the U.S.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 FDA Regulation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U.S., pharmaceutical products are subject to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imposition of clinical holds, refusal by the FDA to approve pending new drug applications (“NDAs”), warning letters, product recalls, product seizures, total or partial suspension of production or distribution, injunctions, fines, refusals of government contracts, restitution, disgorgement, civil penalties and criminal prosecution.</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Pharmaceutical product development in the U.S. typically involves preclinical or other nonclinical laboratory and animal tests and the submission to the FDA of an IND application, which must become effective before clinical testing may commence. For commercial approval, the sponsor must submit adequate tests by all methods reasonably applicable to show that the drug is safe for use under the conditions prescribed, recommended or suggested in the proposed labeling. The sponsor must also submit substantial evidence, generally consisting of adequate, well-controlled clinical trials to establish that the drug will have the effect it purports or is represented to have under the conditions of use prescribed, recommended or suggested in the proposed labeling. Satisfaction of the FDA pre-market approval requirements typically takes many years and the actual time required may vary substantially based upon the type, complexity and novelty of the product or disease.</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Nonclinical tests include laboratory evaluation of product chemistry, formulation and toxicity, as well as animal studies to assess the characteristics and potential safety and efficacy of the product. The conduct of the nonclinical tests must comply with federal requirements, including the FDA's good laboratory practice regulations and the regulations of the U.S. Department of Agriculture implementing the Animal Welfare Act. The results of nonclinical testing are submitted to the FDA as part of an IND along with other information, including information about product chemistry, manufacturing and controls, and a proposed clinical trial protocol. Long-term nonclinical tests, such as animal studies of reproductive toxicity and carcinogenicity, may continue after the IND is submitted.</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30-day waiting period after the submission of each IND is required prior to the commencement of clinical testing in humans. If the FDA has not imposed a clinical hold on the IND or otherwise commented or questioned the IND within this 30-day period, the clinical trial proposed in the IND may begin.</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(some of which have been codified into U.S. federal regulations), and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the FDA requirements or presents an unacceptable risk to the clinical trial patients. The trial protocol and informed consent information for patients in clinical trials must also be submitted to an institutional review board (“IRB”) at each site where a trial will be conducted for approval. An IRB may also require the clinical trial at the site to be halted, either temporarily or permanently, for failure to comply with the IRB's requirements or may impose other conditions. Clinical trials to support NDAs for marketing approval are typically conducted in three sequential phases, but the phases may overlap. In general, in Phase 1, the initial introduction of the drug into healthy human volunteers or, in some cases,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undertaken to obtain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The FDA may, however, determine that a drug is effective based on one clinical trial plus confirmatory evidence. Only a small percentage of investigational drugs complete all three phases and obtain marketing approval. In some cases, the FDA may require post-market studies, known as Phase 4 studies, to be conducted as a condition of approval to gather additional information on the drug's effect in various populations and any side effects associated with long-term use. Depending on the risks posed by the drugs, other post-market requirements may be imposed.</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product may begin in the U.S. The NDA must include the results of all preclinical, clinical, and other testing and a compilation of data relating to the product's pharmacology, chemistry, manufacture, and controls. The cost of preparing and submitting an NDA is substantial. Under federal law, the submission of most NDAs is additionally subject to a substantial application user fee.</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Under the statute and implementing regulations, the FDA has 180 days (the initial review cycle) from the date of filing to issue either an approval letter or a complete response letter, unless the review period is adjusted by mutual agreement between the FDA and the applicant or as a result of the applicant submitting a major amendment. In practice, the performance goals established pursuant to the Prescription Drug User Fee Act have effectively extended the initial review cycle beyond 180 days. The FDA's current performance goals call for the FDA to complete review of 90% of standard (non-priority) NDAs within 10 months of receipt and within six months for priority NDAs, but two additional months are added to standard and priority NDAs for a new molecular entity (“NME”) such that the 10-month and 6-month action goals for NME applications begin to run from the 60-day filing date rather than from receipt of the original NDA submission.</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 which is typically a panel that includes clinicians and other experts, for review, evaluation and a recommendation as to whether the application should be approved. The FDA is not bound by the recommendation of an advisory committee, but it generally follows such recommendations. Before approving an NDA, the FDA will typically inspect one or more clinical sites to assure compliance with GCP. Additionally, the FDA will inspect the facility or the facilities at which the drug is manufactured. The FDA will not approve the product unless compliance with current good manufacturing practice (GMP) regulations is satisfactory, and the NDA contains data that provides substantial evidence that the drug is safe and effective in the indication studied.</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FDA evaluates the NDA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w:t>
      </w:r>
    </w:p>
    <w:p>
      <w:pPr>
        <w:sectPr>
          <w:pgSz w:w="11900" w:h="16838" w:orient="portrait"/>
          <w:cols w:equalWidth="0" w:num="1">
            <w:col w:w="9240"/>
          </w:cols>
          <w:pgMar w:left="1320" w:top="513" w:right="1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committed to reviewing 90% of NDA resubmissions within two to six months depending on the type of information included in response to the deficiencies identified in the CRL.</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 care professionals, and/or elements to assure safe use (“ETASU”). ETASU can include, but is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Fast Track Designation and Accelerated Approval</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is authorized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These programs include Fast Track designation, breakthrough therapy designation, priority review designation and other accelerated approvals.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Fast Track Program, the sponsor of a new drug candidate that is intended to treat a serious condition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 In addition to other benefits such as the ability to engage in more frequent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However, the FDA's time period goal for reviewing an application does not begin until the last section of the NDA is submitted. Additionally, the Fast Track designation may be withdrawn by the FDA if the FDA believes that the designation is no longer supported by data emerging in the clinical trial process.</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2012, Congress enacted the Food and Drug Administration Safety and Innovation Act. This law established a new regulatory program for products designated as “breakthrough therapies.” A product may be designated as a breakthrough therapy if it is intended, either alone or in combination with one or more other drugs,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designated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may also designate a product for priority review if it is a drug that treats a serious condition and, if approved, would provide a significant improvement in safety or effectiveness. The FDA determines at the time that the marketing application is submitted, on a case- by-case basis, whether the proposed drug represents a significant improvement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regulations are codified within Title 21 of the Code of Federal Regulations, as Subpart H under Part 314, the part of the FDA regulations covering applications for FDA approval to market a new drug, and as such the accelerated approval pathway is sometimes referred to as approval under “Subpart H.”</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under Subpart H is subject to rigorous post-marketing</w:t>
      </w:r>
    </w:p>
    <w:p>
      <w:pPr>
        <w:sectPr>
          <w:pgSz w:w="11900" w:h="16838" w:orient="portrait"/>
          <w:cols w:equalWidth="0" w:num="1">
            <w:col w:w="9240"/>
          </w:cols>
          <w:pgMar w:left="1320" w:top="513" w:right="1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compliance requirements, including the completion of Phase 4 or post-approval clinical trials to confirm the effect on the clinical endpoint. Failure to conduct required post-approval studies, or confirm a clinical benefit during post-marketing studies, will allow the FDA to withdraw the drug from the market on an expedited basis. Unless otherwise informed by the FDA, for an accelerated approval product an applicant must submit to the FDA for consideration during the pre-approval review period copies of all promotional materials, including promotional labeling as well as advertisements, intended for dissemination or publication within 120 days following marketing approval. After 120 days following marketing approval, unless otherwise informed by the FDA, the applicant must submit promotional materials at least 30 days prior to the intended time of initial dissemination of the labeling or initial publication of the advertisement. 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Orphan Drugs</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Orphan Drug Act, the FDA may grant orphan drug designation to drugs intended to treat a rare disease or condition generally a disease or condition that affects fewer than 200,000 individuals. The U.S. Orphan Drug Designation must be requested before submitting an NDA. After the FDA grants orphan drug designation, the generic identity and trade name, if any, of the drug and its designated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Pediatric Information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for submission of data, as well as deferrals for several reasons, including a finding that the drug is ready for approval for use in adults before pediatric studies are complete or that additional safety or effectiveness data needs to be collected before the pediatric studies begin. Unless otherwise required by regulation, PREA does not apply to any drug for an indication for which orphan designation has been granted.</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Special Protocol Assessment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company may reach an agreement with the FDA under the Special Protocol Assessment (“SPA”) process as to the required design and size of clinical trials intended to form the primary basis of an efficacy claim for a new drug product. According to its performance goals, the FDA seeks to evaluate the protocol within 45 days of the request to assess whether the proposed trial is adequate, and that evaluation may result in discussions and a request for additional information. An SPA request must be made before the proposed trial begins, and all open issues must be resolved before the trial begins. If a written agreement is reached, it will be documented and made part of the administrative record. Under the FDCA and FDA guidance implementing the statutory requirement, an SPA is generally binding on the FDA except in limited circumstances, such as if the FDA identifies a substantial scientific issue essential to determining safety or efficacy after the study begins, public health concerns emerge that were unrecognized at the time of the protocol assessment, the sponsor and the FDA agree to the change in writing, or if the study sponsor fails to follow the protocol that was agreed upon with the FDA.</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Disclosure of Clinical Trial Information</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Sponsors of clinical trials of certain FDA-regulated products, including prescription drugs, are required to register and disclose certain clinical trial information on a public website maintained by the U.S. National Institutes of Health (“NIH”). Information related to the product, patient population, phase of investigation, study sites and investigator, and other aspects of the clinical trial is made public as part of the registration. Sponsors are also obligated to disclose the results of these trials after completion. Disclosure of the results of these trials can be delayed for up to two years if the sponsor certifies that it is seeking approval of an unapproved product or that it will file an application for approval of a new indication for an approved product within one year. Competitors may use this publicly available information to gain knowledge regarding the design and progress of the development programs. Failure to timely register a covered clinical study or to submit study results as provided for in the law can give rise to civil monetary penalties and also prevent the non-compliant party from receiving future grant funds from the federal government. Since the NIH's Final Rule on ClinicalTrials.gov registration and reporting requirements became effective in 2017, both NIH and FDA have signaled the government's willingness to begin enforcing those requirements against clinical trial sponsors who fail to meet those legal obligations, with FDA releasing a guidance document in August 2020 for certain procedural steps it intends to take when determining whether and how to assess civil monetary penalties against a non-compliant party.</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Drugs manufactured, marketed or distributed pursuant to FDA approval decisions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FDA review and approval before they can be implemented. There also are continuing, annual user fee requirements for any marketed products and related manufacturing facilities, as well as new application fees for supplemental applications.</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of approved drugs are required to register their facilities with the FDA and state agencies, and are subject to periodic unannounced inspections by the FDA for compliance with GMP requirements. Prescription drug distribution facilities are also subject to state licensure, including inspections, by the relevant local regulatory authority. Changes to the manufacturing process, specifications or container closure system for an approved drug are strictly regulated and often require prior FDA approval before being implemented. FDA regulations also require investigation and correction of any deviations from GMP and impose reporting and documentation requirements upon the sponsor and others involved in the drug manufacturing process. Accordingly, manufacturers must continue to expend time, money and effort in the area of production and quality control to maintain GMP compliance and ensure ongoing compliance with other statutory requirements the FDCA, such as the requirements for making manufacturing changes to an approved NDA.</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Thus, even after new drug approval is granted, Regulatory authorities may withdraw that approval or request product recalls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of regulatory non-compliance include, among other things:</w:t>
      </w:r>
    </w:p>
    <w:p>
      <w:pPr>
        <w:spacing w:after="0" w:line="120" w:lineRule="exact"/>
        <w:rPr>
          <w:sz w:val="20"/>
          <w:szCs w:val="20"/>
          <w:color w:val="auto"/>
        </w:rPr>
      </w:pPr>
    </w:p>
    <w:p>
      <w:pPr>
        <w:ind w:left="680" w:hanging="330"/>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below, the FDA strictly regulates marketing, labeling, advertising and promotion of prescription drug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penalties.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5" w:name="page26"/>
    <w:bookmarkEnd w:id="25"/>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b w:val="1"/>
          <w:bCs w:val="1"/>
          <w:color w:val="auto"/>
        </w:rPr>
        <w:t>The Hatch-Waxman Amendments</w:t>
      </w:r>
    </w:p>
    <w:p>
      <w:pPr>
        <w:spacing w:after="0" w:line="160"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46" w:lineRule="exact"/>
        <w:rPr>
          <w:sz w:val="20"/>
          <w:szCs w:val="20"/>
          <w:color w:val="auto"/>
        </w:rPr>
      </w:pPr>
    </w:p>
    <w:p>
      <w:pPr>
        <w:jc w:val="both"/>
        <w:ind w:left="1"/>
        <w:spacing w:after="0" w:line="250" w:lineRule="auto"/>
        <w:rPr>
          <w:sz w:val="20"/>
          <w:szCs w:val="20"/>
          <w:color w:val="auto"/>
        </w:rPr>
      </w:pPr>
      <w:r>
        <w:rPr>
          <w:rFonts w:ascii="Times New Roman" w:cs="Times New Roman" w:eastAsia="Times New Roman" w:hAnsi="Times New Roman"/>
          <w:sz w:val="18"/>
          <w:szCs w:val="18"/>
          <w:color w:val="auto"/>
        </w:rPr>
        <w:t xml:space="preserve">In 1984, with passage of the Hatch-Waxman Amendments to the FDCA, Congress authorized the FDA to approve generic drugs that are the same as drugs previously approved by the FDA under the NDA provisions of the statute. As part of the marketing application process when seeking approval for a new drug through an NDA, applicants are required to list with the FDA every patent of which claims cover the applicant's product or an approved method of using the product. Upon approval of a drug, approval information about the drug along with each of the applicant's listed patents is then published in the FDA's </w:t>
      </w:r>
      <w:r>
        <w:rPr>
          <w:rFonts w:ascii="Times New Roman" w:cs="Times New Roman" w:eastAsia="Times New Roman" w:hAnsi="Times New Roman"/>
          <w:sz w:val="18"/>
          <w:szCs w:val="18"/>
          <w:i w:val="1"/>
          <w:iCs w:val="1"/>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Drug Products with Therapeutic Equivalence Evaluations</w:t>
      </w:r>
      <w:r>
        <w:rPr>
          <w:rFonts w:ascii="Times New Roman" w:cs="Times New Roman" w:eastAsia="Times New Roman" w:hAnsi="Times New Roman"/>
          <w:sz w:val="18"/>
          <w:szCs w:val="18"/>
          <w:color w:val="auto"/>
        </w:rPr>
        <w:t>, commonly known as the "Orange Book." Pursuant to the Hatch-Waxman Amendments, drugs listed in the Orange Book can, in turn, be cited by potential generic competitors in support of approval of an abbreviated new drug application (“ANDA”). An ANDA provides for marketing of a drug product that has the same active ingredients in the same strengths and dosage form as the reference license drug (“RLD”) and has been shown through bioequivalence testing to be bioequivalent to the RLD. The FDA is responsible for determining that the generic drug is "bioequivalent" to the innovator drug, although under the statute, a generic drug is bioequivalent to a RLD if "the rate and extent of absorption of the drug do not show a significant difference from the rate and extent of absorption of the listed drug."</w:t>
      </w:r>
    </w:p>
    <w:p>
      <w:pPr>
        <w:spacing w:after="0" w:line="126"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18"/>
          <w:szCs w:val="18"/>
          <w:color w:val="auto"/>
        </w:rPr>
        <w:t>Other than the requirement for bioequivalence testing, ANDA applicants are not required to conduct, or submit results of, preclinical or clinical tests to prove the safety or effectiveness of their drug product. Drugs approved in this way are most often considered to be therapeutically equivalent to the RLD, are commonly referred to as "generic equivalents" to the RLD, and can often be substituted by pharmacists under prescriptions written for the original RLD in accordance with state law. Specifically, upon approval of an ANDA, the FDA indicates whether the generic product is "therapeutically equivalent" to the RLD in the Orange Book. By operation of certain state laws and numerous health insurance programs, the FDA's designation of therapeutic equivalence in the Orange Book often results in substitution of the generic drug without the knowledge or consent of either the prescribing physician or the patient.</w:t>
      </w:r>
    </w:p>
    <w:p>
      <w:pPr>
        <w:spacing w:after="0" w:line="124"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8"/>
          <w:szCs w:val="18"/>
          <w:color w:val="auto"/>
        </w:rPr>
        <w:t>The Hatch-Waxman Amendments also amended the FDCA to enact Section 505(b)(2) of the FDCA, which permits the filing of an NDA where at least some of the information required for approval comes from studies not conducted by or for the applicant and for which the applicant has not obtained a right of reference. A Section 505(b)(2) applicant may eliminate the need to conduct certain preclinical or clinical studies, if it can establish that reliance on studies conducted for a previously approved product is scientifically appropriate. The FDA may also require companies to perform additional trials or measurements to support the change from the approved product. The FDA may then approve the new product for all or some of the label indications for which the referenced product has been approved, as well as for any new indication sought by the Section 505(b)</w:t>
      </w:r>
    </w:p>
    <w:p>
      <w:pPr>
        <w:spacing w:after="0" w:line="2" w:lineRule="exact"/>
        <w:rPr>
          <w:sz w:val="20"/>
          <w:szCs w:val="20"/>
          <w:color w:val="auto"/>
        </w:rPr>
      </w:pPr>
    </w:p>
    <w:p>
      <w:pPr>
        <w:jc w:val="both"/>
        <w:ind w:left="1" w:hanging="1"/>
        <w:spacing w:after="0" w:line="242" w:lineRule="auto"/>
        <w:tabs>
          <w:tab w:leader="none" w:pos="3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 With respect to listed patents, patent certification requirements, and the blocking of follow-on marketing applications for the drug product previously approved under an NDA and listed in the Orange Book-known as the RLD-505(b)</w:t>
      </w:r>
    </w:p>
    <w:p>
      <w:pPr>
        <w:spacing w:after="0" w:line="1" w:lineRule="exact"/>
        <w:rPr>
          <w:rFonts w:ascii="Times New Roman" w:cs="Times New Roman" w:eastAsia="Times New Roman" w:hAnsi="Times New Roman"/>
          <w:sz w:val="18"/>
          <w:szCs w:val="18"/>
          <w:color w:val="auto"/>
        </w:rPr>
      </w:pPr>
    </w:p>
    <w:p>
      <w:pPr>
        <w:jc w:val="both"/>
        <w:ind w:left="1" w:hanging="1"/>
        <w:spacing w:after="0" w:line="255" w:lineRule="auto"/>
        <w:tabs>
          <w:tab w:leader="none" w:pos="2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applications and ANDAs are required under the statute and FDA's implementing regulations to follow similar procedures and are subject to similar conditions. However, only in some cases is a 505(b)(2) NDA-approved drug product determined by FDA to be therapeutically equivalent to the original innovator RLD.</w:t>
      </w:r>
    </w:p>
    <w:p>
      <w:pPr>
        <w:spacing w:after="0" w:line="105"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As part of our own marketing application process, the ANDA/505(b)(2) applicant is required to certify to the FDA concerning any patents listed for the relevant RLD in the FDA's Orange Book. Specifically, the applicant must certify either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generic product. The ANDA applicant may also elect to submit a Section VIII statement, certifying that our proposed ANDA or 505(b)(2) labeling does not contain (or carves out) any language regarding the patented method-of-use, rather than certify to a listed method-of-use patent.</w:t>
      </w:r>
    </w:p>
    <w:p>
      <w:pPr>
        <w:spacing w:after="0" w:line="108"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If the ANDA/505(b)(2) applicant does not challenge the innovator's listed patents or indicates that it is not seeking approval of a patented method of use, the ANDA/505(b)(2) application will not be approved by the FDA until all the listed patents claiming the referenced product have expired.</w:t>
      </w:r>
    </w:p>
    <w:p>
      <w:pPr>
        <w:spacing w:after="0" w:line="95"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is called a Paragraph IV certification. If the ANDA/505(b)(2) applicant has provided a Paragraph IV certification to the FDA, the applicant must also send notice of that Paragraph IV certification to the NDA sponsor and patent holders once FDA accepts the ANDA/505(b)(2) application for filing. The NDA and patent holders may then initiate a patent infringement lawsuit in response to the notice of the Paragraph IV certification, as provided for in the statute. The filing of a patent infringement lawsuit within 45 days of receipt of a Paragraph IV certification automatically prevents the FDA from approving the ANDA/505(b)(2) NDA until the earlier of 30 months, expiration of the patent, settlement of the lawsuit, or a decision in the infringement case that is favorable to the ANDA/505(b)(2) applicant.</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Non-Patent Exclusivity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Hatch-Waxman Amendments, the FDA also may not approve an ANDA or 505(b)(2) NDA until any applicable period of non-patent exclusivity for the RLD has expired. The FDCA provides a period of five years of non-patent exclusivity for a new drug containing a new chemical entity (“NCE”) which is a drug that contains no active moiety that has been approved by the FDA in any other NDA. During these five years of marketing exclusivity, the FDA cannot receive any ANDA or 505(b)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application seeking approval of a drug that references a version of the NCE drug.</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the addition of a new indication. During this three-year period of exclusivity, the FDA cannot approve an ANDA or 505(b)(2) application that includes the change.</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ANDA or 505(b)(2) application may be submitted one year before NCE exclusivity expires if a Paragraph IV certification is filed. If there is no listed patent in the Orange Book, there may not be a Paragraph IV certification requirement, and in such situations, no ANDA or 505(b)(2) application may be filed before the expiration of the exclusivity period.</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NDA approval, owners of relevant drug patents may apply for up to a five-year patent extension. The allowable patent term extension is calculated as half of the drug's testing phase—the time between IND submission and NDA submission—and all of the review phase—the time between NDA submission and approval up to a maximum of five years. The time can be shortened if the FDA determines that the applicant did not pursue approval with due diligence. The total patent term after the extension may not exceed 14 years from market approval.</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 Patent and Trademark Office must determine that approval of the drug covered by the patent for which a patent extension is being sought is likely. Interim patent extensions are not available for a drug for which an NDA has not been submitted.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Prescription Drug Marketing Act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sales and marketing process, pharmaceutical companies frequently provide samples of approved drugs to physicians. The Prescription Drug Marketing Act (“PDMA”) imposes requirements and limitations upon the provision of drug samples to physicians, as well as prohibits states from licensing distributors of prescription drugs unless the state licensing program meets certain federal guidelines that include minimum standards for storage, handling and record keeping. In addition, the PDMA sets forth civil and criminal penalties for violations.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New Legislation and Regulations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 and relevant regulatory authorities outside the U.S. In addition to new legislation, regulations and policies are often revised or interpreted by regulatory authorities in ways that may significantly affect our business and our product candidates. It is impossible to predict whether further legislative changes will be enacted or whether regulations, guidance, policies or interpretations will be changed or what the effect of such changes, if any, may be.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U.S. Healthcare Laws and Compliance Requirements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obtain regulatory approval of our product candidates and launch them commercially in the U.S.,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Some of the laws that may affect our future ability to operate include:</w:t>
      </w:r>
    </w:p>
    <w:p>
      <w:pPr>
        <w:spacing w:after="0" w:line="102" w:lineRule="exact"/>
        <w:rPr>
          <w:sz w:val="20"/>
          <w:szCs w:val="20"/>
          <w:color w:val="auto"/>
        </w:rPr>
      </w:pPr>
    </w:p>
    <w:p>
      <w:pPr>
        <w:jc w:val="both"/>
        <w:ind w:left="680" w:hanging="330"/>
        <w:spacing w:after="0" w:line="26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ectPr>
          <w:pgSz w:w="11900" w:h="16838" w:orient="portrait"/>
          <w:cols w:equalWidth="0" w:num="1">
            <w:col w:w="9240"/>
          </w:cols>
          <w:pgMar w:left="1320" w:top="513" w:right="1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80" w:hanging="330"/>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spacing w:after="0" w:line="108"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15"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08" w:lineRule="exact"/>
        <w:rPr>
          <w:rFonts w:ascii="Times New Roman" w:cs="Times New Roman" w:eastAsia="Times New Roman" w:hAnsi="Times New Roman"/>
          <w:sz w:val="18"/>
          <w:szCs w:val="18"/>
          <w:color w:val="auto"/>
        </w:rPr>
      </w:pPr>
    </w:p>
    <w:p>
      <w:pPr>
        <w:jc w:val="both"/>
        <w:ind w:left="680" w:hanging="330"/>
        <w:spacing w:after="0" w:line="254"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require manufacturers of FDA-approved drugs, devices, biologics and medical supplies covered by Medicare or Medicaid to report, on an annual basis, to the Department of Health and Human Services information related to payments and other transfers of value to physicians, teaching hospitals, and certain advanced non-physician health care practitioners and physician ownership and investment interests; and</w:t>
      </w:r>
    </w:p>
    <w:p>
      <w:pPr>
        <w:spacing w:after="0" w:line="119" w:lineRule="exact"/>
        <w:rPr>
          <w:rFonts w:ascii="Times New Roman" w:cs="Times New Roman" w:eastAsia="Times New Roman" w:hAnsi="Times New Roman"/>
          <w:sz w:val="18"/>
          <w:szCs w:val="18"/>
          <w:color w:val="auto"/>
        </w:rPr>
      </w:pPr>
    </w:p>
    <w:p>
      <w:pPr>
        <w:jc w:val="both"/>
        <w:ind w:left="680" w:hanging="330"/>
        <w:spacing w:after="0" w:line="25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 Moreover,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Europe/Rest of World Government Regulation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U.S., we are and will be subject, either directly or through our potential partners, to a variety of regulations in other jurisdictions governing, among other things, clinical trials and any commercial sales and distribution of our products, if approved.</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non-U.S. countries prior to the commencement of clinical trials or marketing of the product in those countries.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European Union, medicinal products are subject to extensive pre- and post-marketing regulation by regulatory authorities at both the European Union and national levels. Additional rules also apply at the national level to the manufacture, import, export, storage, distribution and sale of controlled substances. In many European Union. member states the regulatory authority responsible for medicinal products is also responsible for controlled substances. Responsibility is, however, split in some member states. Generally, any company manufacturing or distributing a medicinal product containing a controlled substance in the European Union will need to hold a controlled substances license from the competent national authority and will be subject to specific record-keeping and security obligations. Separate import or export certificates are required for each shipment into or out of the member state.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Clinical Trials and Marketing Approval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countries outside of the U.S. have a process that requires the submission of a clinical trial application much like an IND prior to the commencement of human clinical trials. In Europe, for example, a clinical trial application (“CTA”) must be submitted to the competent national health authority and to independent ethics committees in each country in which a company intends to conduct clinical trials. Once the CTA is approved in accordance with a country's requirements and a company has received favorable ethics committee approval, clinical trial development may proceed in that country.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even though there is some degree of legal harmonization in the European Union member states resulting from the national implementation of the underlying European Union. legislation. In all cases, the clinical trials must be</w:t>
      </w:r>
    </w:p>
    <w:p>
      <w:pPr>
        <w:sectPr>
          <w:pgSz w:w="11900" w:h="16838" w:orient="portrait"/>
          <w:cols w:equalWidth="0" w:num="1">
            <w:col w:w="9240"/>
          </w:cols>
          <w:pgMar w:left="1320" w:top="513" w:right="1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conducted in accordance with the International Conference on Harmonization guidelines on GCP and other applicable regulatory requirements.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obtain regulatory approval to place a drug on the market in the European Union, we must submit a marketing authorization application. This application is similar to the NDA in the U.S., with the exception of, among other things, country-specific document requirements. All application procedures require an application in the common technical document format, which includes the submission of detailed information about the manufacturing and quality of the product, and non-clinical and clinical trial information. Drugs can be authorized in the European Union by using (i) the centralized authorization procedure, (ii) the mutual recognition procedure, (iii) the decentralized procedure or (iv) national authorization procedures.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European Commission created the centralized procedure for the approval of human drugs to facilitate marketing authorizations that are valid throughout the European Union and, by extension (after national implementing decisions) in Iceland, Liechtenstein and Norway, which, together with European Union member states, comprise the European Economic Area. Applicants file marketing authorization applications with the EMA, where a relevant scientific committee reviews them, in most cases the Committee for Medicinal Products for Human Use (“CHMP”). The EMA forwards CHMP opinions to the European Commission, which uses them as the basis for deciding whether to grant a marketing authorization. This procedure results in a single marketing authorization granted by the European Commission that is valid across the European Union, as well as in Iceland, Liechtenstein and Norway. The centralized procedure is compulsory for human drugs that: (i) are derived from biotechnology processes, such as genetic engineering, (ii) contain a new active substance indicated for the treatment of certain diseases, such as HIV/AIDS, cancer, diabetes, neurodegenerative diseases, autoimmune and other immune dysfunctions and viral diseases, (iii) are officially designated "orphan drugs" (drugs used for rare human diseases) and (iv) are advanced-therapy medicines, such as gene-therapy, somatic cell-therapy or tissue-engineered medicines. The centralized procedure may, at the voluntary request of the applicant, also be used for human drugs which do not fall within the above-mentioned categories if the CHMP agrees that (a) the human drug contains a new active substance not yet approved as of November 20, 2005; (b) it constitutes a significant therapeutic, scientific or technical innovation or (c) authorization under the centralized procedure is in the interests of patients at the European Union level.</w:t>
      </w:r>
    </w:p>
    <w:p>
      <w:pPr>
        <w:spacing w:after="0" w:line="1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centralized procedure in the European Union, the maximum timeframe for the evaluation of a marketing authorization application by the EMA is 210 days (excluding clock stops, when additional written or oral information is to be provided by the applicant in response to questions asked by the CHMP), with adoption of the actual marketing authorization by the European Commission thereafter. Accelerated evaluation might be granted by the CHMP in exceptional cases, when a medicinal product is expected to be of major public health interest from the point of view of therapeutic innovation, defined by three cumulative criteria: the seriousness of the disease to be treated, the absence of an appropriate alternative therapeutic approach, and anticipation of exceptional high therapeutic benefit. In this circumstance, the EMA ensures that the evaluation for the opinion of the CHMP is completed within 150 days and the opinion is issued thereafter.</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those medicinal products for which the centralized procedure is not available, the applicant must submit marketing authorization applications to the national medicines regulators through one of three procedures: (i) the mutual recognition procedure (which must be used if the product has already been authorized in at least one other European Union member state, and in which the European Union member states are required to grant an authorization recognizing the existing authorization in the other European Union member state, unless they identify a serious risk to public health), (ii) the decentralized procedure (in which applications are submitted simultaneously in two or more European Union member states) or (iii) national authorization procedures (which results in a marketing authorization in a single European Union member state).</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Mutual Recognition Procedure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(“MRP”) for the approval of human drugs is an alternative approach to facilitate individual national marketing authorizations within the European Union. Basically, the MRP may be applied for all human drugs for which the centralized procedure is not obligatory. The MRP is applicable to the majority of conventional medicinal products and must be used if the product has already been authorized in one or more member states.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characteristic of the MRP is that the procedure builds on a pre-existing marketing authorization in a member state of the European Union that is used as a reference in order to obtain marketing authorizations in other European Union member states. In the MRP, a marketing authorization for a drug already exists in one or more member states of the European Union and subsequently marketing authorization applications are made in other European Union member states by referring to the initial marketing authorization. The member state in which the marketing authorization was first granted will then act as the reference member state. The member states where the marketing authorization is subsequently applied for act as concerned member states. The concerned member states are required to grant an authorization recognizing the existing authorization in the reference member state unless they identify a serious risk to public health.</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MRP is based on the principle of mutual recognition by the European Union member states of their respective national marketing authorizations. Based on a marketing authorization in the reference member state, the applicant may apply for marketing authorizations in other member states. In such cases, the reference member state shall update its existing assessment report about the drug in 90 days. After the assessment is completed, copies of the report are sent to all member states, together with the approved summary of product characteristics, labeling and package leaflet. The concerned member states then have 90 days to recognize the decision of the reference member state and the summary of product characteristics, labeling and package leaflet. National marketing authorizations shall be granted within 30 days of acknowledgement of the agreement.</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European Union member state refuses to recognize the marketing authorization by the reference member state, on the grounds of potential serious risk to public health, the issue will be referred to a coordination group. Within a timeframe of 60 days, member states shall, within the coordination group, make all efforts to reach a consensus. If this fails, the procedure is submitted to an EMA scientific committee for arbitration. The opinion of this EMA Committee is then forwarded to the European Commission for the start of the decision-making process. As in the centralized procedure, this process entails consulting various European Commission Directorates General and the Standing Committee on Human Medicinal Products.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Data and Market Exclusivity in the European Union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European Union, NCEs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NCE and the sponsor is able to gain the prescribed period of data exclusivity, another company nevertheless could also market another version of the drug if such company can complete a full marketing authorization application (“MAA”) with a complete database of pharmaceutical test, preclinical studies and clinical trials and obtain marketing approval of its product.</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of pharmaceutical products approved for marketing in the U.S. by the FDA will depend, in part, on the extent to which the costs of the products will be covered by third-party payers, such as government health programs, and commercial insurance and managed health care organizations. These third-party payers are increasingly challenging the prices charged for medical products and services. Additionally, the containment of health 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utilization management and requirements for substitution of generic products. Adoption of price controls and cost-containment measures, and adoption of more restrictive policies in jurisdictions with existing controls and measures, could further limit our operating results. If these third-party payers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(“MMA”) imposed requirements for the distribution and pricing of prescription drugs for Medicare beneficiaries and included a major expansion of the prescription drug benefit under Medicare Part D. Under Part D, Medicare beneficiaries may enroll in prescription drug plans offered by private entities that provide coverage of outpatient prescription drugs. Part D is available through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payment for some of the costs of prescription drugs may increase demand for products for which we receive marketing approval in the U.S.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Affordability Reconciliation Act of 2010 (collectively, the “ACA”), was enacted with the goal of expanding coverage for the uninsured while at the same time containing overall health care costs. With regard to pharmaceutical products, among other things, the ACA expanded and increased industry rebates for drugs covered under Medicaid programs and made changes to the coverage requirements under the Medicare Part D program.</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Medicare covers certain drug purchases by the elderly and eligible disabled people and introduced a reimbursement methodology based on average sales prices for physician-administered drugs. In addition, Medicare may limit the number of drugs that will be covered in any therapeutic class. Ongoing cost reduction initiatives and future laws could decrease the coverage and price that we will receive for any approved products. While Medicare beneficiaries are limited to most elderly and certain disabled individuals, private payors often follow Medicare coverage policy and payment limitations in setting their own payment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or potential importance to our product candidates are the following:</w:t>
      </w:r>
    </w:p>
    <w:p>
      <w:pPr>
        <w:spacing w:after="0" w:line="158" w:lineRule="exact"/>
        <w:rPr>
          <w:sz w:val="20"/>
          <w:szCs w:val="20"/>
          <w:color w:val="auto"/>
        </w:rPr>
      </w:pPr>
    </w:p>
    <w:p>
      <w:pPr>
        <w:ind w:left="680" w:hanging="330"/>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products;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Act's pharmaceutical pricing program;</w:t>
      </w:r>
    </w:p>
    <w:p>
      <w:pPr>
        <w:spacing w:after="0" w:line="157" w:lineRule="exact"/>
        <w:rPr>
          <w:rFonts w:ascii="Times New Roman" w:cs="Times New Roman" w:eastAsia="Times New Roman" w:hAnsi="Times New Roman"/>
          <w:sz w:val="18"/>
          <w:szCs w:val="18"/>
          <w:color w:val="auto"/>
        </w:rPr>
      </w:pPr>
    </w:p>
    <w:p>
      <w:pPr>
        <w:ind w:left="680" w:hanging="330"/>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financial arrangements with physicians and teaching hospitals (i.e., the Federal Physician Payment Sunshine Act, which has since been expanded to cover additional specified healthcare providers);</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will receive for any approved product. Any reduction in payments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remain judicial and political challenges to certain aspects of the ACA. In June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2021 to August 2021 for purposes of obtaining health insurance coverage through the ACA marketplace. The executive order also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included aggregate reductions to Medicare payments to providers of 2% per fiscal year, which went into effect in April 2013 and, due to subsequent legislative amendments to the statute, including the Bipartisan Budget Act of 2018, will remain in effect through 2030, with the exception of a temporary suspension from May 2020 through March 2022, unless additional Congressional action is taken. In addition, in January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likelihood of success of these and other measures is uncertain.</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some European Union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Such differences in national pricing regimes may create price differentials between European Union member states.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U.S. In the European Union, the downward pressure on healthcare costs in general, particularly prescription medicines, has become intense. As a result, barriers to entry of new products are becoming increasingly high and patients are unlikely to use a drug product that is not reimbursed by their government.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17, 2025, we had nine full-time (and total) employees, of which five were engaged in R&amp;D functions, three were engaged in general and administrative (“G&amp;A”) functions, and one was engaged in both R&amp;D and G&amp;A functions. We have no collective bargaining agreements with our employees and have not experienced any work stoppages. We consider our relationships with our employees to be good.</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full-time employees.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MetaVia was incorporated under the laws of the State of Delaware in October 2014. Our principal executive offices are located at 545 Concord Avenue, Suite 210, Cambridge, Massachusetts, 02138. Our website address is www.metaviatx.com. The information contained on or that can be accessed through our website is not a part of this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our website, we make available, free of charge, our annual, quarterly and current reports, including amendments to such reports, as soon as reasonably practicable after the Company electronically files such material with, or furnishes such material to, the SEC. The SEC maintains a website at www.sec.gov that contains reports, proxy and information statements and other information regarding us and other companies that file materials with the SEC electronically.</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available on our website is information relating to our corporate governance and our board of directors, including our corporate governance guidelines; our code of business conduct; and our board committee charters. We will provide any of the foregoing information without charge upon written request to our Secretary, MetaVia Inc., 545 Concord Avenue, Suite 210, Cambridge, Massachusetts 02138.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Annual</w:t>
      </w:r>
    </w:p>
    <w:p>
      <w:pPr>
        <w:sectPr>
          <w:pgSz w:w="11900" w:h="16838" w:orient="portrait"/>
          <w:cols w:equalWidth="0" w:num="1">
            <w:col w:w="9240"/>
          </w:cols>
          <w:pgMar w:left="1320" w:top="513" w:right="1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Report, including in the section titled “Management’s Discussion and Analysis of Financial Condition and Results of Operations” and in our consolidated financial statements and the related notes included elsewhere in this Annual Report.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inception, and we anticipate that we will continue to incur net losses for the foreseeable future. We require additional capital to accomplish our business plan and the failure to obtain necessary capital when needed on acceptable terms, or at all, could force us to delay, limit, reduce or terminate our operations.</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have experienced net losses and negative cash flows from operating activities since our inception, and we have a net loss of $27.6 million and an accumulated deficit of $135.9 million as of December 31, 2024. We have concluded that there is substantial doubt about the Company’s ability to continue as a going concern within twelve months from the date the consolidated financial statements were issued. Our independent registered public accounting firm has issued an opinion on our consolidated financial statements included in this Annual Report that also states that there is substantial doubt about the Company’s ability to continue as a going concern. Our consolidated financial statements have been prepared using accounting principles generally accepted in the U.S. applicable for a going concern, which assume that we will realize our assets and satisfy our liabilities in the normal course of business. Our consolidated financial statements do not include any adjustments to the amounts and classification of assets and liabilities that may be necessary should we be unable to continue as a going concern.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incur increasing levels of losses from operating activities for the foreseeable future, particularly as we advance our product candidates through clinical development. Our prior losses, combined with expected future losses, have had and will continue to have an adverse effect on our stockholders’ equity and working capital. We expect our R&amp;D expenses to increase in connection with our additional planned clinical trials for our product candidates and the development of other future product candidates we may choose to pursue. In addition, if we obtain marketing approval for any of our product candidates, we will incur significant sales, marketing and outsourced manufacturing expenses in connection with the commercialization of our product candidates. As a result, we expect to continue to incur significant and increasing losses from operating activities for the foreseeable future. To-date, we have not generated any revenue and we do not know when, or if, we will generate any revenue. Even if we do become profitable, we may not be able to sustain or increase our profitability on a quarterly or annual basis. We do not expect to generate significant revenue unless and until we obtain marketing approval for, and begin to sell, one or more of our product candidates. It is possible we will never generate revenue or profit.</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are exploring financing opportunities and carefully monitoring the capital markets, we do not yet have any commitments for additional financing and may not be successful in our efforts to raise additional funds. There can be no assurances that additional financing will be available to us on satisfactory terms, or at all. If we are unable to raise sufficient additional capital (which is not assured at this time), our business plan may not be accomplished, and we may be forced to delay, limit, reduce or terminate our operations. For more information about our liquidity and capital resources, see “Liquidity and Capital Resources” in Part II, Item 7. Management’s Discussion and Analysis of Financial Condition and Results of Operations.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do no generate any revenue, we are dependent on working capital to fund our business plan, and raising additional capital may cause dilution to existing stockholders, restrict our operations or require us to relinquish rights to our technologies.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existing cash will be sufficient to fund our operations into the third quarter of 2025. Until such time, if ever, as we can generate revenue, we expect to finance our cash needs through a combination of equity offerings, debt financing, collaborations, strategic alliances, and marketing, distribution or licensing arrangements with third parties. In addition, we may seek additional capital due to favorable market conditions or strategic considerations, even if we believe we have sufficient funds from our current or future expected business plans. To the extent that we raise additional capital through the sale of equity or convertible debt securities, the ownership interest of current stockholders may be materially diluted, and the terms of such securities could include liquidation preferences or other preferences that adversely affect the rights of our current stockholders. The terms of debt and/or equity financings, if available, may provide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 or other</w:t>
      </w:r>
    </w:p>
    <w:p>
      <w:pPr>
        <w:sectPr>
          <w:pgSz w:w="11900" w:h="16838" w:orient="portrait"/>
          <w:cols w:equalWidth="0" w:num="1">
            <w:col w:w="9240"/>
          </w:cols>
          <w:pgMar w:left="1320" w:top="513" w:right="1339" w:bottom="144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arrangements when needed, we may be required to delay, scale back or discontinue the development and commercialization of one or more of our product candidates or delay our pursuit of potential in-licenses, out-licenses or acquisitions. If we need to secure additional financing, such additional fundraising efforts may divert our management and research efforts from our day-to-day activities, which may adversely affect our ability to develop and commercialize our product candidates.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securityholders could cause the market price of our common stock to decline.</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on January 23, 2024, we filed a registration statement on Form S-3 relating to the reoffer and resale from time to time of up to 22,629,907 shares of our common stock by the selling stockholders named therein, and such registration statement was declared effective on January 31, 2024. Additionally, on July 18, 2024, we filed a registration statement on Form S-1 relating to the reoffer and resale from time to time of up to 17,175,579 shares of our common stock by the selling securityholders named therein, and such registration statement was declared effective on July 24, 2024. By exercising their registration rights and selling a large number of shares of our common stock in reliance on these and other existing registration statements, these securityholders could cause the prevailing market price of our common stock to decline.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outstanding warrants to purchase an aggregate of 14,483,792 shares of our common stock. Each warrant entitles the holder thereof to purchase one share of our common stock. To the extent such warrants are exercised, additional shares of our common stock will be issued, which will result in dilution to the then existing holders of shares our common stock and increase the number of shares eligible for resale in the public market.</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shares of our 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 We have filed registration statements on Form S-8 to register shares of our common stock or securities convertible into or exchangeable for shares of our common stock issued pursuant to our equity incentive plans. We expect to file additional registration statements on Form S-8 in the future to register additional shares reserved for future issuance under our equity incentive plans, and Form S-8 registration statements automatically become effective upon filing. Accordingly, shares registered under such registration statements will be available for sale in the open market.</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could have a material adverse effect on our business, results of operations and financial condition and liquidity.</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prospects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or other partners and there is a risk that one or more would not survive or be able to meet their commitments to us under such circumstances. As widely reported, global credit and financial markets have experienced volatility and disruptions in the past several years due to the impacts of the COVID-19 pandemic, and, more recently, the ongoing conflicts in Ukraine and Israel, including severely diminished liquidity and credit availability, declines in consumer confidence, declines in economic growth, inflation, rising interest rates, increases in unemployment rates and uncertainty about tariffs and economic stability. There can be no assurances that further deterioration in credit and financial markets and confidence in economic conditions will not occur. Any of the foregoing could harm our business and we cannot anticipate all of the ways in which the current economic climate and financial market conditions could adversely impact our business.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w:t>
      </w:r>
    </w:p>
    <w:p>
      <w:pPr>
        <w:sectPr>
          <w:pgSz w:w="11900" w:h="16838" w:orient="portrait"/>
          <w:cols w:equalWidth="0" w:num="1">
            <w:col w:w="9240"/>
          </w:cols>
          <w:pgMar w:left="1320" w:top="513" w:right="13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lead to market-wide liquidity problems. For example, in 2023, the Federal Deposit Insurance Corporation took control and was appointed receiver of Silicon Valley Bank, Signature Bank and Silvergate Capital Corp, respectively, after each bank was unable to continue their operations. Since then, additional financial institutions have experienced similar failures and have been placed into receivership. It is possible that other banks will face similar difficulties in the future.</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do not maintain any deposit accounts, credit agreements or letters of credit with any financial institution currently in receivership,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our operations and to the development, marketing, commercialization and regulation of our product candidates</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our R&amp;D efforts are focused, in part, on developing DA-1241 for the treatment of MASH, an indication for which there is only one approved product. The regulatory approval process for novel product candidates, such as DA-1241 for MASH, can be more expensive and take longer than for other, better known or extensively studied product candidates. In addition to Madrigal Pharmaceuticals’ approved product, other companies are in later stages of clinical trials for their potential MASH therapies, and we expect that the path for regulatory approval for MASH therapies may continue to evolve in the near term as these other companies refine their regulatory approval strategies and interact with regulatory authorities. Such evolution may impact our future clinical trial designs, including trial size and endpoints, in ways that we cannot predict today. Our anticipated development costs would likely increase if development of DA-1241 or any future product candidate is delayed because the FDA requires us to perform studies or trials in addition to, or different from, those that we currently anticipate. Because of the numerous risks and uncertainties associated with pharmaceutical product development, we are unable to predict the timing or amount of any increase in our anticipated development costs.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treatments for obesity and overweight patients may impact public perception of our Company and DA-1726, or may adversely affect our ability to conduct our business and our business plans.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DA-1726 is unsafe, unethical or immoral and, consequently, our approach may not gain the acceptance of the public or the medical community. Negative public reaction to treatments for obesity and overweight patients in general could result in greater government regulation and stricter labeling requirements of products to treat these chronic conditions, including DA-1726, if approved, and could cause a decrease in the demand for DA-1726 or any product candidates we may develop. For example, severe adverse events observed with GLP-1 receptor agonists include, but are not limited to, acute pancreatitis, acute gallbladder disease, acute kidney injury and worsening of diabetic retinopathy. Such side effects associated with GLP-1 receptor or GLP-1/GIP receptor targeting treatments may negatively impact public perception of us, DA-1726 or any product candidates we develop. Adverse public attitudes may also adversely impact our ability to enroll clinical trials. Moreover, our success will depend upon physicians and their patients being willing to receive treatments that involve the use of DA-1726 or any product candidates we develop, in lieu of or in addition to, existing treatments that such physicians and their patients are already familiar with and for which greater clinical data may be available. Adverse events in our clinical trials, even if not ultimately attributable to our DA-1726 or any product candidates we develop, and the resulting publicity could result in withdrawal of clinical trial participants, increased governmental regulation, unfavorable public perception, potential regulatory delays in the testing or approval of DA-1726 or any product candidates we develop, stricter labeling requirements for those product candidates that are approved and a decrease in demand for any such</w:t>
      </w:r>
    </w:p>
    <w:p>
      <w:pPr>
        <w:sectPr>
          <w:pgSz w:w="11900" w:h="16838" w:orient="portrait"/>
          <w:cols w:equalWidth="0" w:num="1">
            <w:col w:w="9240"/>
          </w:cols>
          <w:pgMar w:left="1320" w:top="513" w:right="1339" w:bottom="144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candidates. More restrictive government regulations or negative public opinion could have a material and adverse impact on our business, financial condition, results of operations and prospects, and may delay or impair the development, commercialization (if approved) or demand for DA-1726 or any product candidates we develop.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the 2022 License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exclusive rights (other than in the Republic of Korea) to DA-1241 and DA-1726 for the specific indications provided in the 2022 License Agreement. Under the 2022 License Agreement, in consideration for the license, we made an upfront payment of 2,200 shares of our Series A Convertible Preferred Stock. As additional consideration for the license, we are required to pay Dong-A milestone payments upon the achievement of specified regulatory milestones and milestone payments upon the achievement of specified commercial milestones. Commencing on the first commercial sale of licensed products, we are obligated to pay royalties of single-digit percentages on annual net sales of the products covered by the license. If the milestone is reached or the other non-royalty obligations become due, we may not have sufficient funds available to meet our obligations, which may materially adversely affect our business operations and financial condition.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favorable clinical results, we may not be able to obtain regulatory approval for, or successfully commercialize DA-1241 and DA-1726.</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the large number of drugs in development in the U.S., only a small percentage receive FDA regulatory approval and are commercialized in the U.S. We are not permitted to market DA-1241 or DA-1726 in the U.S. until we receive approval of a New Drug Application (“NDA”) from the FDA, or in any foreign countries until we receive the requisite approval from such countries or jurisdictions, such as the MAA in the European Union from the European Medicines Agency (“EMA”).</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condition to submitting an NDA to the FDA for DA-1241 or DA-1726, we must successfully complete several clinical trials demonstrating efficacy and safety. For example, we must successfully meet a number of critical developmental milestones, including: (i) developing dosages that will be well-tolerated, safe and effective; (ii) completing the development and scale-up to permit manufacture of our product candidates in commercial quantities and at acceptable costs; (iii) demonstrating through pivotal clinical trials that the product candidate is safe and effective in patients for the intended indication; (iv) establishing commercial manufacturing capabilities or making arrangements with third-party manufacturers; and (v) obtaining and maintaining exclusive rights, including patent and trade secret protection and non-patent exclusivity for our product candidates. The time necessary to achieve these developmental milestones for any individual product candidate is long and uncertain, and we may not successfully complete these milestones for any product candidates that we may develop. We are continuing to test and develop our product candidates and may explore possible design or formulation changes to address safety, dosage, efficacy, manufacturing efficiency and performance issues to the extent any arise. The design of a clinical trial may be able to determine whether its results will support approval of a product, and flaws in the design of a clinical trial may not become apparent until the clinical trial is well advanced or completed. There is no assurance that we will be able to design and complete a clinical trial to support marketing approval. Moreover, nonclinical and clinical data are often susceptible to multiple interpretations and analyses. A number of companies in the pharmaceutical and biotechnology industries have experienced significant setbacks in advanced clinical trials, even after achieving promising results in earlier trials.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Successfully completing clinical trials and obtaining approval of an NDA is a complex, lengthy, expensive and uncertain process, and the FDA, or a comparable foreign regulatory authority, may delay, limit or deny approval of an NDA for many reasons, including, among others: (i) disagreement with the design or implementation of our clinical trials; (ii) disagreement with the sufficiency of our clinical trials; (iii) failure to demonstrate the safety and efficacy of the product candidate for the proposed indications; (iv) failure to demonstrate that any clinical and other benefits of the product candidate outweigh their safety risks; (v) a negative interpretation of the data from our nonclinical studies or clinical trials; (vi) insufficient data collected from clinical trials or changes in the approval requirements that render our nonclinical and clinical data insufficient to support the filing of an NDA or to obtain regulatory approval; or (vii) changes in clinical practice in our approved products available for the treatment of the target patient population that could have an impact on the indications that we are pursuing for our product candidates. Any of these factors, many of which are beyond our control, could jeopardize our ability to obtain regulatory approval for and successfully market DA-1241 and DA-1726.</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DA-1241 and DA-1726 may not be successful in clinical trials or receive regulatory approval. Further, DA-1241 and DA-1726 may not receive regulatory approval even if they are successful in clinical trials, or these product candidates may be approved for fewer or more limited indications than we request, such approval may be contingent on the performance of costly post-marketing clinical trials or we may not be allowed to include the labeling claims necessary or desirable for the successful commercialization of such product candidate. In addition, the policies or regulations, or the type and amount of clinical data necessary to gain approval, may change during a product candidate’s clinical development and may vary among jurisdictions. Our development activities could be harmed or delayed by a partial shutdown of the U.S. government, including the FDA. We</w:t>
      </w:r>
    </w:p>
    <w:p>
      <w:pPr>
        <w:sectPr>
          <w:pgSz w:w="11900" w:h="16838" w:orient="portrait"/>
          <w:cols w:equalWidth="0" w:num="1">
            <w:col w:w="9240"/>
          </w:cols>
          <w:pgMar w:left="1320" w:top="513" w:right="13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have not obtained regulatory approval for any product candidate, and it is possible that DA-1241 and DA-1726 will never obtain regulatory approval.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REMS for a product, which could impose restrictions on our distribution. Any of the foregoing scenarios could materially harm the commercial prospects for our product candidates.</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similarly positive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shares of common stock.</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drug candidate development risk is heightened by any changes in the planned clinical trials compared to the completed clinical trials. As product candidates are developed through preclinical to early to late-stage clinical trials towards approval and commercialization, it is customary that various aspects of the development program, such as manufacturing and methods of administration, are altered along the way to optimize processes and results. While these types of changes are common and are intended to optimize the product candidates for late-stage clinical trials, approval and commercialization, such changes carry the risk that they will not achieve these intended objectives.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changes could make the results of our planned clinical trials or other future clinical trials we may initiate less predictable and could cause our product candidates to perform differently, including causing toxicities, which could delay the completion of our clinical trials, delay the approval of our product candidates and/or jeopardize our ability to commence product sales and generate revenues.</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candidates may cause undesirable side effects that could delay or prevent their marketing approval, limit the commercial profile of an approved label, or result in significant negative consequences following marketing approval, if any, including marketing withdrawal.</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that we may develop or acquire could cause us or the FDA or other regulatory authorities to interrupt, delay or halt our clinical trials and could result in more restrictive labels or the delay or denial of marketing approval by the FDA or other regulatory authorities of such product candidates. Results of our clinical trials could reveal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In addition, any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drugs) after such approval, a number of potentially significant negative consequences could result, including:</w:t>
      </w:r>
    </w:p>
    <w:p>
      <w:pPr>
        <w:spacing w:after="0" w:line="120" w:lineRule="exact"/>
        <w:rPr>
          <w:sz w:val="20"/>
          <w:szCs w:val="20"/>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such product candidates are distributed or administered, conduct additional clinical trials or change the labeling of the product candidates;</w:t>
      </w:r>
    </w:p>
    <w:p>
      <w:pPr>
        <w:spacing w:after="0" w:line="94"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to be distributed to patients, physician communication plans, or elements to assure safe use, such as restricted distribution methods, patient registries and other risk minimization tools;</w:t>
      </w:r>
    </w:p>
    <w:p>
      <w:pPr>
        <w:spacing w:after="0" w:line="115"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 after they are approved;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rendered less competitive, and sales may decrease;</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efforts to discover drug candidates beyond our current drug candidates may not succeed, and any drug candidates we recommend for clinical development may not actually begin clinical trials.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to continue to use our technology, including our licensed technology, knowledge and expertise to develop novel drugs to address some of the world’s most widespread and costly chronic diseases. We intend to expand our existing pipeline of core assets by advancing drug compounds from current ongoing discovery programs into clinical development. However, the process of researching and discovering drug compounds is expensive, time-consuming and unpredictable. Data from our current preclinical programs may not support the clinical development of our lead compounds or other compounds from these programs, and we may not identify any additional drug compounds suitable for recommendation for clinical development. Moreover, any drug compounds we recommend for clinical development may not demonstrate, through preclinical studies, indications of safety and potential efficacy that would support advancement into clinical trials. Such findings would potentially</w:t>
      </w:r>
    </w:p>
    <w:p>
      <w:pPr>
        <w:sectPr>
          <w:pgSz w:w="11900" w:h="16838" w:orient="portrait"/>
          <w:cols w:equalWidth="0" w:num="1">
            <w:col w:w="9240"/>
          </w:cols>
          <w:pgMar w:left="1320" w:top="513" w:right="133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impede our ability to maintain or expand our clinical development pipeline. Our ability to identify new drug compounds and advance them into clinical development also depends upon our ability to fund our research and development operations, and we cannot be certain that additional funding will be available on acceptable terms, or at all.</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our clinical trials may lead to a delay in the submission of marketing approval applications and jeopardize our ability to potentially receive approvals and generate revenues from the sale of our products.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experience delays in ongoing and planned clinical trials. We do not know whether planned clinical trials will begin or enroll subjects on time, need to be redesigned or be completed on schedule, if at all. Clinical trials may be delayed, suspended or terminated for a variety of reasons, such as:</w:t>
      </w:r>
    </w:p>
    <w:p>
      <w:pPr>
        <w:spacing w:after="0" w:line="115" w:lineRule="exact"/>
        <w:rPr>
          <w:sz w:val="20"/>
          <w:szCs w:val="20"/>
          <w:color w:val="auto"/>
        </w:rPr>
      </w:pPr>
    </w:p>
    <w:p>
      <w:pPr>
        <w:ind w:left="680" w:hanging="330"/>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an agreement with the FDA or a comparable foreign regulatory authority on a trial design that we are able to execute;</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authorization to commence a trial or inability to comply with conditions imposed by a regulatory authority regarding the scope or design of a clinical trial;</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delay or failure in identifying and maintaining a sufficient number of trial sites, many of which may already be engaged in competing clinical trial programs;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the manufacture of drug substance for use in clinical trials;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suitable subjects to participate in a trial;</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having subjects complete a trial or return for post-treatment follow-up;</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trial protocol, failing to conduct the trial in accordance with regulatory requirements, or dropping out of a trial;</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on acceptable terms with prospective CROs and clinical trial sites, the terms of which can be subject to extensive negotiation and may vary significantly among different CROs and trial sites;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IRB approval to conduct a clinical trial at each site;</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negative or equivocal findings of the Data Safety Monitoring Board (“DSMB”), if any;</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results;</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by the FDA, a comparable foreign regulatory authority, or recommendation by a DSMB to suspend or terminate clinical trials at any time for safety issues or for any other reason;</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affecting clinical trial sites and regions where clinical trials are being completed;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product development program; or</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requirements.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develop DA-1241 and DA-1726, and potentially future product candidates, in combination with other therapies, which exposes us to additional risks.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develop DA-1241 and DA-1726 and future product candidates in combination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U.S. could revoke approval of the therapy used in combination with our product candidate or that safety, dosage, efficacy, manufacturing or supply issues could arise with these existing therapies. This could result in our own products being removed from the market or being less successful commercially.</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evaluate DA-1241 and DA-1726 or any other future product candidates in combination with one or more other therapies that have not yet been approved for marketing by the FDA or similar regulatory authorities outside of the U.S. We will not be able to market and sell DA-1241 and DA-1726 or any product candidate we develop in combination with any such unapproved therapies that do not ultimately obtain marketing approval. If the FDA or similar regulatory authorities outside of the U.S. do not approve these other drugs or revoke their approval of, or if safety, efficacy, manufacturing, or supply issues arise with, the drugs we choose to evaluate in combination with DA-1241 and DA-1726 or any other product candidate we develop, we may be unable to obtain approval of or market DA-1241 and DA-1726 or any other product candidate we develop.</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 that we may enter into in the future may not be successful, which could adversely affect our ability to develop and commercialize our current and potential future drug candidates.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seek collaboration arrangements with biopharmaceutical companies for the development or commercialization of our current and potential future drug candidates. To the extent that we decide to enter into collaboration agreements, we will face significant competition in seeking appropriate collaborators. Moreover, collaboration arrangements are complex and time-consuming to negotiate, execute and implement. We may not be successful in our efforts to establish and implement collaborations, or other alternative arrangements should we choose to enter into such arrangements, and the terms of the arrangements may not be favorable to us. If, and when we collaborate with a third party for development and commercialization of a drug candidate, we can expect to relinquish some or all of the control over the future success of that drug candidate to the third party.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Disagreements between parties to a collaboration arrangement can lead to delays in developing or commercializing the applicable drug candidate and can be difficult to resolve in a mutually beneficial manner. In some cases, collaborations with biopharmaceutical companies and other third parties are terminated or allowed to expire by the other party. Any such termination or expiration would adversely affect our business, financial condition and results of operations.</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 including difficulties in identifying patients with MASH and significant competition for recruiting such patients in clinical trials.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our clinical trials is critical to our success. We may encounter delays in enrolling, or be unable to enroll, a sufficient number of patients to complete any of our clinical trials, and even once enrolled we may be unable to retain a sufficient number of patients to complete any of our trials. In particular, as a result of the inherent difficulties in diagnosing MASH and the significant competition for recruiting patients with MASH in clinical trials, there may be delays in enrolling the patients we need to complete clinical trials on a timely basis, or at all. This risk may be more significant for us than other companies conducting clinical trials for the treatment of patients with MASH because we are enrolling only patients with a biopsy-confirmed diagnosis of MASH in our clinical trials.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generally affect patient enrollment include:</w:t>
      </w:r>
    </w:p>
    <w:p>
      <w:pPr>
        <w:spacing w:after="0" w:line="158" w:lineRule="exact"/>
        <w:rPr>
          <w:sz w:val="20"/>
          <w:szCs w:val="20"/>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44"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any significant adverse events or other side effects are observed in any of our future clinical trials, it may make it more difficult for us to recruit patients to our clinical trials and patients may drop out of our trials, or we may be required to abandon the trials or our development efforts of one or more product candidates altogether. Our inability to enroll a sufficient</w:t>
      </w:r>
    </w:p>
    <w:p>
      <w:pPr>
        <w:sectPr>
          <w:pgSz w:w="11900" w:h="16838" w:orient="portrait"/>
          <w:cols w:equalWidth="0" w:num="1">
            <w:col w:w="9240"/>
          </w:cols>
          <w:pgMar w:left="1320" w:top="513" w:right="1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number of patients for our clinical trials would result in significant delays, which would increase our costs and have an adverse effect on our Company.</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 In particular, these companies have greater experience and expertise in securing government contracts and grants to support their R&amp;D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MASH</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only one approved treatment of MASH, Madrigal Pharmaceuticals’ thyroid hormone receptor beta agonist. However, various therapeutics are used off-label for the treatment of MASH, including vitamin E (an antioxidant), insulin sensitizers (e.g., metformin, pioglitazone), antihyperlipidemic agents (e.g., gemfibrozil), pentoxifylline and ursodeoxycholic acid (UDCA). There are several product candidates in Phase 3 or earlier clinical or preclinical development for the treatment of MASH, including Novo Nordisk’s GLP1 agonist semaglutide, Eli Lilly’s GLP1R and GIP dual agonist tirzepatide, Akero Therapeutics’s FGF21 analog efruxifermin, 89 Bio’s FGF21 analog pegaozafermin, Inventiva’s pan-peroxisome proliferator-activated receptor agonist, Boston Pharmaceuticals and Roche’s fibroblast growth factor 21 analogs, and farnesoid X receptor agonists from Intercept Pharmaceuticals Inc., among others. Additional pharmaceutical and biotechnology companies with product candidates in development for the treatment of MASH include AstraZeneca plc, Altimmune Inc., Boehringer Ingelheim GmbH, Bristol-Myers Squibb Company, Durect Corporation, Galectin Therapeutics Inc., Galmed Pharmaceuticals Ltd., Immuron Ltd., Ionis Pharmaceuticals, Inc., Islet Sciences, Inc., MediciNova, Inc., NGM Biopharmaceuticals, Inc., NuSirt Sciences Inc., Pfizer Inc., Viking Therapeutics, Inc. and Zydus Pharmaceuticals (USA) Inc. MASH is a complex disease and we believe that it is unlikely that any one therapeutic option will be optimal for every MASH patient.</w:t>
      </w: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Obesity</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Due to the growing overweight and obesity epidemic and consumer demand, there are many competitors in the field of obesity treatment. Obesity treatments range from behavioral modification to drugs and medical devices, and surgery, generally as a last resort. If DA-1726 were approved for obesity, our primary competition in the obesity treatment market would currently be from approved and marketed products, including semaglutide (WEGOVY®) and tirzepatide (Zepbound®). Further competition could arise from products currently in development, including among others, with GLP1R/GCGR dual agonists, Boehringer Ingelheim, Merck/Hanmi Pharmaceutical, AstraZeneca, Altimmune, Innovent Biologics/Eli Lilly, Carmot and D&amp;D Pharma; with GLP1R/GCGR/GIP triple agonists, Hanmi Pharmaceutical and Eli Lilly; Amgen with its GLP-1R agonist/GIP antagonist antibody; and Novo Nordisk with Amylin and Amylin-GLP-1 combination. To the extent any of our product candidates are approved for obesity, the commercial success of our product will also depend on our ability to demonstrate benefits over the then-prevailing standard of care. Finally, morbidly obese</w:t>
      </w:r>
    </w:p>
    <w:p>
      <w:pPr>
        <w:sectPr>
          <w:pgSz w:w="11900" w:h="16838" w:orient="portrait"/>
          <w:cols w:equalWidth="0" w:num="1">
            <w:col w:w="9240"/>
          </w:cols>
          <w:pgMar w:left="1320" w:top="513" w:right="13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patients sometimes undergo a gastric bypass procedure, with salutary effects on the many co-morbid conditions of obesity.</w:t>
      </w: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T2DM</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currently market and sell products or are pursuing the development of products for T2DM.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attaining significant market acceptance of our product candidates, if approved, among hospitals, physicians, patients and healthcare payors.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any of our product candidates that we may develop or acquire in the future, the product may not gain market acceptance among hospitals, physicians, health care payors, patients, and the medical community. Market acceptance of any of our product candidates for which we receive regulatory approval depends on a number of factors, including:</w:t>
      </w:r>
    </w:p>
    <w:p>
      <w:pPr>
        <w:spacing w:after="0" w:line="99" w:lineRule="exact"/>
        <w:rPr>
          <w:sz w:val="20"/>
          <w:szCs w:val="20"/>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major operators of hospitals, physicians and patients of the product candidate as a safe and effective treatment, particularly the ability of our product candidates to establish themselves as a new standard of care in the treatment paradigm for the indications that we are pursuing;</w:t>
      </w:r>
    </w:p>
    <w:p>
      <w:pPr>
        <w:spacing w:after="0" w:line="108" w:lineRule="exact"/>
        <w:rPr>
          <w:rFonts w:ascii="Times New Roman" w:cs="Times New Roman" w:eastAsia="Times New Roman" w:hAnsi="Times New Roman"/>
          <w:sz w:val="18"/>
          <w:szCs w:val="18"/>
          <w:color w:val="auto"/>
        </w:rPr>
      </w:pPr>
    </w:p>
    <w:p>
      <w:pPr>
        <w:ind w:left="680" w:hanging="330"/>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 as compared to the relative costs of the product candidates and alternative treatments;</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and patients to take, a product candidate that is based on a botanical source;</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with respect to our product candidates, and any elements that may be imposed by the FDA under a REMS program that could discourage market uptake of the products;</w:t>
      </w:r>
    </w:p>
    <w:p>
      <w:pPr>
        <w:spacing w:after="0" w:line="94" w:lineRule="exact"/>
        <w:rPr>
          <w:rFonts w:ascii="Times New Roman" w:cs="Times New Roman" w:eastAsia="Times New Roman" w:hAnsi="Times New Roman"/>
          <w:sz w:val="18"/>
          <w:szCs w:val="18"/>
          <w:color w:val="auto"/>
        </w:rPr>
      </w:pPr>
    </w:p>
    <w:p>
      <w:pPr>
        <w:ind w:left="680" w:hanging="330"/>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for any approved products by third party payors and government authorities;</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certain types of patients to take our product;</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ability to treat patients and, if required by any applicable regulatory authority in connection with the approval for target indications, to provide patients with incremental cardiovascular disease benefits, as compared with other available therapies;</w:t>
      </w:r>
    </w:p>
    <w:p>
      <w:pPr>
        <w:spacing w:after="0" w:line="108" w:lineRule="exact"/>
        <w:rPr>
          <w:rFonts w:ascii="Times New Roman" w:cs="Times New Roman" w:eastAsia="Times New Roman" w:hAnsi="Times New Roman"/>
          <w:sz w:val="18"/>
          <w:szCs w:val="18"/>
          <w:color w:val="auto"/>
        </w:rPr>
      </w:pPr>
    </w:p>
    <w:p>
      <w:pPr>
        <w:ind w:left="680" w:hanging="330"/>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candidates, including as compared with other treatments available for approved indications;</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guidelines and recommendations of organizations involved in research, treatment and prevention of various diseases that may advocate for alternative therapies;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or patients may be reluctant to switch from existing therapies even if potentially more effective, safe or convenient;</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safety, and potential advantages compared to alternative treatments;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 for sale at competitive prices;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together with other medications;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 with other medicines patients are taking; and</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competitive products.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may be delays in getting our product candidates, if approved, on hospital or insurance formularies or limitations on coverages that may be available in the early stages of commercialization for newly approved drugs. If any of our product candidates are approved but fail to achieve market acceptance among hospitals, physicians, patients or health care payors, we will not be able to generate significant revenues, which would have a material adverse effect on our business, prospects, financial condition and results of operations.</w:t>
      </w:r>
    </w:p>
    <w:p>
      <w:pPr>
        <w:spacing w:after="0" w:line="11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 future pharmaceutical drug candidate, the profitability of such product candidate will likely depend in significant part on third-party reimbursement practices, which, if unfavorable, would harm our business.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ability to commercialize a drug successfully will depend in part on the extent to which coverage and adequate reimbursement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will be available for any product candidate that we commercialize and, if coverage is available, whether the level of reimbursement will be adequate. Assuming we obtain coverage for our product candidates, if approved,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a product candidate, if approved, unless coverage is provided, and reimbursement is adequate to cover all or a significant portion of the cost of our products. Therefore, coverage and adequate reimbursement are critical to new product acceptance. If reimbursement is not available or is available only to limited levels, we may not be able to successfully commercialize any product candidate for which we obtain marketing approval.</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a product candidate is approved by the FDA or similar regulatory authorities outside the U.S. Moreover, eligibility for reimbursement does not imply that any product will be paid for in all cases or at a rate that covers our costs, including research, development, manufacture, sale and distribution. Interim reimbursement levels for a new product, if applicable, may also not be sufficient to cover our costs and may not be made permanent. Reimbursement rates may vary according to the use of the product and the clinical setting in which it is used, may be based on reimbursement levels already set for lower cost medicines and may be incorporated into existing payments for other services. Net prices for products may be reduced by mandatory discounts or rebates required by government healthcare programs or private payors and by any future relaxation of laws that presently restrict imports of medicines from countries where they may be sold at lower prices than in the U.S. Third-party payors often rely upon Medicare coverage policy and payment limitations in setting their own reimbursement policies. However, no uniform policy requirement for coverage and reimbursement for drug products exists among third-party payors in the U.S.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on our liquidity, increase our expenses and present significant distractions to our management.</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products, drug candidates or technologies. Additional potential transactions that we may consider include a variety of different business arrangements, including spin-offs, strategic partnerships, joint ventures, restructurings,</w:t>
      </w:r>
    </w:p>
    <w:p>
      <w:pPr>
        <w:sectPr>
          <w:pgSz w:w="11900" w:h="16838" w:orient="portrait"/>
          <w:cols w:equalWidth="0" w:num="1">
            <w:col w:w="9240"/>
          </w:cols>
          <w:pgMar w:left="1320" w:top="513" w:right="1339" w:bottom="1440"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business, financial condition and results of operations. For example, these transactions may entail numerous operational and financial risks, including:</w:t>
      </w:r>
    </w:p>
    <w:p>
      <w:pPr>
        <w:spacing w:after="0" w:line="99" w:lineRule="exact"/>
        <w:rPr>
          <w:sz w:val="20"/>
          <w:szCs w:val="20"/>
          <w:color w:val="auto"/>
        </w:rPr>
      </w:pPr>
    </w:p>
    <w:p>
      <w:pPr>
        <w:ind w:left="680" w:hanging="330"/>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drug candidates, technologies or businesses;</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any of these transactions;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transaction and integration costs;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or product lines with our operations and personnel; and</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complete may be subject to the foregoing risk or other risks and could have a material adverse effect on our business, financial condition and results of operations.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 that we may develop. Product liability claims might be brought against us by patients, healthcare providers or others selling or otherwise coming into contact with any of our products or future product candidates during product testing, manufacturing, marketing or sale. For example, we may be sued on allegations that a product candidate caused injury or that the product is otherwise unsuitable.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cannot successfully defend ourselves against claims that our product caused injuries, we could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liability claims may result in:</w:t>
      </w:r>
    </w:p>
    <w:p>
      <w:pPr>
        <w:spacing w:after="0" w:line="139" w:lineRule="exact"/>
        <w:rPr>
          <w:sz w:val="20"/>
          <w:szCs w:val="20"/>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are developing;</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that we may develop;</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 product from the market; and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fail to comply with environmental, health and safety laws and regulations, we could become subject to fines or penalties or incur costs that could have an adverse effect on the success of our business.</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R&amp;D activities involve the controlled use of potentially hazardous substances, including chemical and biological materials, by us and our third-party manufacturers. Our manufacturers are subject to federal, state and local laws and regulations in the U.S. and abroad governing laboratory procedures and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Although we maintain workers’ compensation insurance to cover us for costs and expenses, we may incur due to injuries to our employees resulting from the use of hazardous materials, this insurance may not provide adequate coverage against potential liabilities. Compliance with applicable environmental, health and safety laws and regulations are expensive, and current or future environmental regulations may impair our research, development and production efforts, which could harm our business, prospects, financial condition or results of operations.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will continue to rely on collaborative partners regarding the development of our research programs and product candidates.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and expect to continue to be dependent on collaborations with partners relating to the development and commercialization of our existing and future research programs and product candidates. In particular, we rely on Dong-A to provide services with respect to our development of DA-1241 and DA-1726. In addition, we have had, have and will continue to have discussions on potential partnering opportunities with various pharmaceutical companies. If we fail to enter into or maintain collaborative agreements on reasonable terms or at all, our ability to develop our existing or future research programs and product candidates could be delayed, the commercial potential of our products could change, and our costs of development and commercialization could increase.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dependence on collaborative partners subjects us to a number of risks, including, but not limited to, the following:</w:t>
      </w:r>
    </w:p>
    <w:p>
      <w:pPr>
        <w:spacing w:after="0" w:line="158" w:lineRule="exact"/>
        <w:rPr>
          <w:sz w:val="20"/>
          <w:szCs w:val="20"/>
          <w:color w:val="auto"/>
        </w:rPr>
      </w:pPr>
    </w:p>
    <w:p>
      <w:pPr>
        <w:ind w:left="680" w:hanging="330"/>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or timing of resources that collaborative partners devote to our research programs and product candidates;</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significant rights, including intellectual property, marketing and distribution rights;</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information and data received from third parties regarding our research programs and product candidates and will not have control of the process conducted by the third party in gathering and composing such data and information. We may not have formal or appropriate guarantees from our contract parties with respect to the quality and the completeness of such data;</w:t>
      </w:r>
    </w:p>
    <w:p>
      <w:pPr>
        <w:spacing w:after="0" w:line="98"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collaborative partner may develop a competing product either by itself or in collaboration with others, including one or more of our competitors;</w:t>
      </w:r>
    </w:p>
    <w:p>
      <w:pPr>
        <w:spacing w:after="0" w:line="80"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willingness or ability to complete their obligations under our collaboration arrangements may be adversely affected by business combinations or significant changes in a collaborative partner’s business strategy; and/or</w:t>
      </w:r>
    </w:p>
    <w:p>
      <w:pPr>
        <w:spacing w:after="0" w:line="108"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or increases in the costs of, the development of our research programs and product candidates due to the termination or expiration of collaborative R&amp;D arrangements.</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to selectively enter into agreements with third parties to sell and market our product candidates, we may not be successful in commercializing our product candidates if and when they are approved.</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other third parties. In the future, we may choose to build a focused sales and marketing infrastructure to sell some of our product candidates if and when they are approved.</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risks involved both with establishing our own sales and marketing capabilities and with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44" w:lineRule="exact"/>
        <w:rPr>
          <w:sz w:val="20"/>
          <w:szCs w:val="20"/>
          <w:color w:val="auto"/>
        </w:rPr>
      </w:pPr>
    </w:p>
    <w:p>
      <w:pPr>
        <w:ind w:left="680" w:hanging="330"/>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pharmaceutical products; and</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these product revenues may be lower than if we were to market and sell any products that we develop ourselves. In addition, we may not be successful in entering into arrangements with third parties to sell and market our product candidates or may be unable to do so on terms that are favorable to us. We may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marketing restrictions or withdrawal from the market, and we may be subject to penalties if we fail to comply with regulatory requirements or if we experience unanticipated problems with our products.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pharmaceutical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quality assurance and corresponding maintenance of records and documents and requirements regarding the distribution of samples to physicians and recordkeeping. Even if the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medicine. The FDA closely regulates the post-approval marketing and promotion of drugs to ensure that they are marketed only for the approved indications and in accordance with the provisions of the approved labeling. The FDA imposes stringent restrictions on manufacturers’ communications regarding off-label use and if we do not market our products for their approved indications, we may be subject to enforcement action for off-label marketing and/or promotion.</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problems with our products, manufacturers or manufacturing processes, or failure to comply with regulatory requirements, may result in, among other things:</w:t>
      </w:r>
    </w:p>
    <w:p>
      <w:pPr>
        <w:spacing w:after="0" w:line="94" w:lineRule="exact"/>
        <w:rPr>
          <w:sz w:val="20"/>
          <w:szCs w:val="20"/>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marketing, distribution or use of a product;</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post-approval clinical trials;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 for the drug products;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any potential collaborator may never receive regulatory approval to market our product candidates outside of the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activities associated with the development and commercialization of pharmaceutical drugs are subject to comprehensive regulation by the FDA, other regulatory agencies in the U.S. and by comparable authorities in other countries. Failure to obtain regulatory approval for our product candidates will prevent us or any potential collaborator from commercializing our product candidates as pharmaceutical drugs. We have not received regulatory approval to market any of our product candidates in any jurisdiction, and we do not expect to obtain FDA or any other regulatory approvals to market any of our product candidates for the foreseeable future, if at all. The process of obtaining regulatory approvals is expensive, often takes many years, if approval is obtained at all, and can vary substantially based upon the type, complexity and novelty of the product candidates involved.</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avail ourselves of mechanisms to expedite and/or reduce the cost for development or approval of any of our product candidates or product candidates we may pursue in the future, such as Fast Track designation or orphan drug designation, but such mechanisms may not actually lead to a faster or less expensive development or regulatory review or approval process.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seek Fast Track designation, priority review, orphan drug designation, or accelerated approval for any product candidate we may pursue in the future. For example, if a drug is intended for the treatment of a serious or life-threatening condition and the drug demonstrates the potential to address unmet medical needs for this condition, the drug sponsor may apply for FDA Fast Track designation. However, the FDA has broad discretion with regard to these mechanisms, and even if we believe a particular product candidate is eligible for any such mechanism, we cannot assure you that the FDA would decide to grant it. Even if we obtain Fast Track or priority review designation or pursue an accelerated approval pathway, we may not experience a faster and/or less costly development process, review or approval compared to conventional FDA procedures. The FDA may withdraw a particular designation if it believes that the designation is no longer supported by data from our clinical development program.</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of obtaining marketing approval and commercialization of our product candidates and affect the prices we may obtain.</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post-approval activities and affect our ability to profitably sell any product candidates for which we obtain marketing approval. See the section titled “Government Regulation” in above Item 1. Business.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product candidates may be.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materially harmed.</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third-party payors will be subject to applicable anti-kickback, fraud and abuse and other healthcare laws and regulations, which could expose us to criminal sanctions, civil penalties, contractual damages, reputational harm and diminished profits and future earnings, among other penalties and consequences.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 for which we obtain marketing approval. Our arrangements with third-party payors and customers may expose us to broadly applicable fraud and abuse and other healthcare laws and regulations that may constrain the business or financial arrangements and relationships through which we market, sell and distribute any product candidate for which we obtain</w:t>
      </w:r>
    </w:p>
    <w:p>
      <w:pPr>
        <w:sectPr>
          <w:pgSz w:w="11900" w:h="16838" w:orient="portrait"/>
          <w:cols w:equalWidth="0" w:num="1">
            <w:col w:w="9240"/>
          </w:cols>
          <w:pgMar w:left="1320" w:top="513" w:right="1339" w:bottom="144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approval. Restrictions and obligations under applicable federal and state healthcare laws and regulations are noted in “Government Regulation” in above Item 1. Business.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U.S. to sell our products abroad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it does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NOLs to offset future taxable income may be subject to certain limitations.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Section 382 of Internal Revenue Code of 1986, as amended (the “Code”), a corporation that undergoes an “ownership change” is subject to limitations on its ability to utilize carryforwards to offset future taxable income. Our existing net operating loss (“NOL”) carryforwards were subject to limitation arising from an ownership change related to the Dong-A Financing and the underwritten public offering we closed on in November 2022. Future changes in our stock ownership, some of which are outside of our control, could result in further ownership changes under Section 382 of the Code. There is also a risk that due to regulatory changes, such as suspensions on the use of NOL carryforwards, or other unforeseen reasons, our existing and any future NOL carryforwards could expire or otherwise be unavailable to offset future income tax liabilities.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including the changes in corporate tax rates, disagreements with taxing authorities and imposition of new taxes could impact the results of our operations and financial condition.</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income and other taxes in the U.S. and our operations, plans and results are affected by tax and other initiatives. In 2017, comprehensive changes to the Code were signed into law, informally titled the Tax Cuts and Jobs Act (the “Tax Act”). The Tax Act included significant changes that could materially impact the taxation of corporations, like us, including among other things, changes to the corporate income tax rate, limitation of the tax deduction for interest expense to business interest income plus 30% of adjusted taxable income (except for certain small businesses), immediate deductions for certain new investments instead of deductions for depreciation expense over time, and modifying or repealing many business deductions and credits (including changes to the orphan drug tax credit and changes to the deductibility of research and experimental expenditures that will be effective in the future). The Tax Act also included a limitation of the deduction for net operating losses (“NOLs”) generated in tax years beginning after 2017 to 80% of current year taxable income and the general elimination of carrybacks of NOLs generated in taxable years ending after 2017. However, the Coronavirus Aid, Relief, and Economic Security Act signed into law in 2020, provided that NOLs generated in a taxable year beginning in 2018, 2019 or 2020, may now be carried back five years. In addition, the 80% taxable income limitation is temporarily removed, allowing NOLs to fully offset net taxable income. Notwithstanding the reduction in the corporate income tax rate, the overall impact of</w:t>
      </w:r>
    </w:p>
    <w:p>
      <w:pPr>
        <w:sectPr>
          <w:pgSz w:w="11900" w:h="16838" w:orient="portrait"/>
          <w:cols w:equalWidth="0" w:num="1">
            <w:col w:w="9240"/>
          </w:cols>
          <w:pgMar w:left="1320" w:top="513" w:right="1339" w:bottom="144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Act and any future tax reform is uncertain and our business and financial condition could be adversely affected. The impact of the Tax Act and any future tax reform on holders of our common stock is likewise uncertain and could be adverse.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regular reviews, examinations, and audits by the IRS and other taxing authorities with respect to our taxes. Although we believe our tax estimates are reasonable, if a taxing authority disagrees with the positions we have taken, we could face additional tax liability, including interest and penalties. There can be no assurance that payment of such additional amounts upon final adjudication of any disputes will not have a material impact on our results of operations and financial position.</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need to comply with new, evolving or revised tax laws and regulations. The enactment of or increases in tariffs, or other changes in the application or interpretation of the Tax Act, or on specific products that we may ultimately sell or with which our products compete, may have an adverse effect on our business or on our results of operations.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of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other government agencies on which the combined organization’s operations may rely, including those that fund R&amp;D activities is subject to the political process, which is inherently fluid and unpredictable.</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Federal legislation and actions by state and local governments may permit reimportation of drugs from foreign countries into the U.S., including foreign countries where the drugs are sold at lower prices than in the U.S., which could adversely affect our operating results.</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face competition for our product candidates, if approved, from cheaper alternatives sourced from foreign countries that have placed price controls on pharmaceutical products. For example, in October 2020, the FDA published a final rule that would allow for the importation of certain prescription drugs from Canada, where there are government price controls. In January 2024, the FDA approved Florida’s request to import certain lower-priced medications from Canada. While the full implications of the final rule are currently unknown, legislation or regulations allowing the reimportation of drugs could decrease the price we receive for any products we may develop and adversely affect our future revenues and potential profitability.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will rely on third-party clinical research organizations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CROs and clinical data management organizations to monitor and manage data for our ongoing preclinical and clinical programs. Although we control only certain aspects of their activities, we are responsible for ensuring that each of our studies is conducted in accordance with the applicable protocol and legal, regulatory and scientific standards, and our reliance on the CROs does not relieve us of our regulatory responsibilities. We also rely on third parties to conduct our preclinical studies in accordance with Good Laboratory Practice (“GLP”) requirements and the Laboratory Animal Welfare Act of 1966 requirements. We, our CROs and our clinical trial sites are required to comply with regulations and current GCP, and comparable foreign requirements to ensure that the health, safety and rights of patients are protected in clinical trials, and that data integrity is assured. Regulatory authorities ensure compliance with GCP requirements through periodic inspections of trial sponsors and trial sites. If we, any of our CROs or our clinical trial sites fail to comply with applicable GCP requirements, the clinical data generated in our clinical trials, or a specific site may be deemed</w:t>
      </w:r>
    </w:p>
    <w:p>
      <w:pPr>
        <w:sectPr>
          <w:pgSz w:w="11900" w:h="16838" w:orient="portrait"/>
          <w:cols w:equalWidth="0" w:num="1">
            <w:col w:w="9240"/>
          </w:cols>
          <w:pgMar w:left="1320" w:top="513" w:right="1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unreliable, and the FDA or comparable foreign regulatory authorities may require us to perform additional clinical trials before approving our marketing applications.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programs. If CROs do not successfully carry out their contractual obligations or meet expected timelines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our product candidates and preclinical and clinical drug supplies.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experience manufacturing our product candidates on a large clinical or commercial scale and have no manufacturing facility. We currently have no plans to build our own clinical or commercial scale manufacturing capabilities. We currently work exclusively with Dong-A as the sole manufacturer for the production of DA-1241 and DA-1726. To meet our projected needs for clinical supplies to support our activities for DA-1241 and DA-1726 through regulatory approval and commercial manufacturing, Dong-A will need to provide sufficient scale of production for these projected needs. If any issues arise in the manufacturing and we are unable to arrange for alternative third-party manufacturing sources, we are unable to find an alternative third party capable of reproducing the existing manufacturing method or we are unable to do so on commercially reasonable terms or in a timely manner, we may not be able to complete the development of our product candidates, or market or distribute them.</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our product candidates and preclinical and clinical drug supplies, including:</w:t>
      </w:r>
    </w:p>
    <w:p>
      <w:pPr>
        <w:spacing w:after="0" w:line="81" w:lineRule="exact"/>
        <w:rPr>
          <w:sz w:val="20"/>
          <w:szCs w:val="20"/>
          <w:color w:val="auto"/>
        </w:rPr>
      </w:pPr>
    </w:p>
    <w:p>
      <w:pPr>
        <w:ind w:left="680" w:hanging="330"/>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breach of the manufacturing agreement by the third party because of factors beyond our control (including a failure to synthesize and manufacture our product candidates or any products that we may eventually commercialize in accordance with our specifications);</w:t>
      </w:r>
    </w:p>
    <w:p>
      <w:pPr>
        <w:spacing w:after="0" w:line="108" w:lineRule="exact"/>
        <w:rPr>
          <w:rFonts w:ascii="Times New Roman" w:cs="Times New Roman" w:eastAsia="Times New Roman" w:hAnsi="Times New Roman"/>
          <w:sz w:val="18"/>
          <w:szCs w:val="18"/>
          <w:color w:val="auto"/>
        </w:rPr>
      </w:pPr>
    </w:p>
    <w:p>
      <w:pPr>
        <w:ind w:left="680" w:hanging="330"/>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termination or nonrenewal of the agreement by the third party, based on our own business priorities, at a time that is costly or damaging to us;</w:t>
      </w:r>
    </w:p>
    <w:p>
      <w:pPr>
        <w:spacing w:after="0" w:line="108"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or failure to obtain, regulatory approval of any of our product candidates because of the failure by our third-party manufacturer to comply with cGMP or failure to scale up manufacturing processes; and</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manufacturer and any future manufacturers may not be able to manufacture our product candidates at a cost or in quantities or in a timely manner necessary to make commercially successful products.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third-party manufacturers do not successfully carry out their contractual obligations or meet expected timelines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mergers or in-licenses and out-licenses of technology that could disrupt our business, cause dilution to the organization’s stockholders and harm our financial condition and operating results.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 the future, make acquisitions or licenses of, or investments in, companies, products or technologies that we believe are a strategic or commercial fit with our current product candidates and business or otherwise offer opportunities for us. In connection with these acquisitions, mergers or investments, the organization may:</w:t>
      </w:r>
    </w:p>
    <w:p>
      <w:pPr>
        <w:spacing w:after="0" w:line="95" w:lineRule="exact"/>
        <w:rPr>
          <w:sz w:val="20"/>
          <w:szCs w:val="20"/>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stockholders’ percentage of ownership;</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cash;</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may be unable to find suitable acquisition, merger or license candidates and we may not be able to complete acquisitions, mergers or licenses on favorable terms, if at all. If we do complete an acquisition, merger or license, we cannot</w:t>
      </w:r>
    </w:p>
    <w:p>
      <w:pPr>
        <w:sectPr>
          <w:pgSz w:w="11900" w:h="16838" w:orient="portrait"/>
          <w:cols w:equalWidth="0" w:num="1">
            <w:col w:w="9240"/>
          </w:cols>
          <w:pgMar w:left="1320" w:top="513" w:right="1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assure you that it will ultimately strengthen our competitive position or that it will not be viewed negatively by customers, financial markets or investors. Further, future acquisitions, mergers or licenses could also pose numerous additional risks to our operations, including:</w:t>
      </w:r>
    </w:p>
    <w:p>
      <w:pPr>
        <w:spacing w:after="0" w:line="95" w:lineRule="exact"/>
        <w:rPr>
          <w:sz w:val="20"/>
          <w:szCs w:val="20"/>
          <w:color w:val="auto"/>
        </w:rPr>
      </w:pPr>
    </w:p>
    <w:p>
      <w:pPr>
        <w:ind w:left="680" w:hanging="330"/>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or licensed business, products or technologies;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have discovered undisclosed liabilities of the acquired or licensed asset or company;</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complete one or more acquisitions or mergers or effectively integrate the operations, products or personnel gained through any such acquisition without a material adverse effect on our business, financial condition and results of operations.</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products and any future product candidates that we may develop. Any strategic alliance or collaboration may require us to incur non-recurring and other charges, increase our near and long-term expenditures, issue securities that dilute our existing stockholders or disrupt our management and business. Our likely collaborators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products or any future product candidate. Our ability to generate revenues from these arrangements will depend on our collaborators’ abilities to successfully perform the functions assigned to them in these arrangements. We cannot be certain that, following a strategic transaction or license, we will achieve the revenue or specific net income that justifies such transaction.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involving our product candidates, or any future product candidate pose the following risks to us:</w:t>
      </w:r>
    </w:p>
    <w:p>
      <w:pPr>
        <w:spacing w:after="0" w:line="144" w:lineRule="exact"/>
        <w:rPr>
          <w:sz w:val="20"/>
          <w:szCs w:val="20"/>
          <w:color w:val="auto"/>
        </w:rPr>
      </w:pPr>
    </w:p>
    <w:p>
      <w:pPr>
        <w:ind w:left="680" w:hanging="330"/>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44"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08"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08"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w:t>
      </w:r>
    </w:p>
    <w:p>
      <w:pPr>
        <w:spacing w:after="0" w:line="115"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 candidates may not commit sufficient resources to the marketing and distribution of any such product candidate;</w:t>
      </w:r>
    </w:p>
    <w:p>
      <w:pPr>
        <w:spacing w:after="0" w:line="94"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94"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management’s attention and resources;</w:t>
      </w:r>
    </w:p>
    <w:p>
      <w:pPr>
        <w:spacing w:after="0" w:line="115"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discoveries and use this knowledge to compete with us in the future;</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collaborators’ preclinical or clinical studies could harm or impair other development programs;</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conflicts between different collaborators that could negatively affect those collaborations and potentially others;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future collaborators or acquirers;</w:t>
      </w:r>
    </w:p>
    <w:p>
      <w:pPr>
        <w:spacing w:after="0" w:line="144" w:lineRule="exact"/>
        <w:rPr>
          <w:rFonts w:ascii="Times New Roman" w:cs="Times New Roman" w:eastAsia="Times New Roman" w:hAnsi="Times New Roman"/>
          <w:sz w:val="18"/>
          <w:szCs w:val="18"/>
          <w:color w:val="auto"/>
        </w:rPr>
      </w:pPr>
    </w:p>
    <w:p>
      <w:pPr>
        <w:jc w:val="both"/>
        <w:ind w:left="680" w:hanging="330"/>
        <w:spacing w:after="0" w:line="261"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the development or commercialization of our product candidate in the most efficient manner or at all. If our present or future collaborator were to be involved in a business combination, the continued pursuit and emphasis on our product development or commercialization program under such collaboration could be delayed, diminished or terminated; and</w:t>
      </w:r>
    </w:p>
    <w:p>
      <w:pPr>
        <w:spacing w:after="0" w:line="9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unable to obtain the necessary marketing approvals.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future collaboration partners fail to develop or effectively commercialize our product candidates or any future product candidate for any of these reasons, such candidate may not be approved for sale and our sales of such product candidate, if approved, may be limited, which would have an adverse effect on our operating results and financial condition.</w:t>
      </w:r>
    </w:p>
    <w:p>
      <w:pPr>
        <w:spacing w:after="0" w:line="1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which could have a material adverse effect on our business.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failures to comply with FDA regulations or similar regulations of comparable foreign regulatory authorities, to provide accurate information to the FDA or comparable foreign regulatory authorities, to comply with manufacturing standards we have established, to comply with federal and state healthcare fraud and abuse laws and regulations and similar laws and regulations established and enforced by comparable foreign regulatory authorities,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or third-party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such as employee training, may not be effective in controlling unknown or unmanaged risks or losses or in protecting us from governmental investigations or other actions or lawsuits stemming from failure to be in compliance with such laws or regulations. If any such actions are instituted against us, and we are not successful in defending such action or asserting our rights, those actions could have a significant impact on our business and results of operations, including the imposition of significant fines or other sanctions.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rights, our competitive position could be harmed.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our ability to protect our proprietary technology. We rely on trade secrets, patents, copyright and trademark laws, and confidentiality, licensing and other agreements with employees and third parties, all of which offer only limited protection. Our success depends in large part on our ability to obtain and maintain patent protection in the U.S. and other</w:t>
      </w:r>
    </w:p>
    <w:p>
      <w:pPr>
        <w:sectPr>
          <w:pgSz w:w="11900" w:h="16838" w:orient="portrait"/>
          <w:cols w:equalWidth="0" w:num="1">
            <w:col w:w="9240"/>
          </w:cols>
          <w:pgMar w:left="1320" w:top="513" w:right="1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countries with respect to our proprietary technology and products. Where we have the right to do so under our license agreements, we seek to protect our proprietary position by filing patent applications in the U.S. and abroad related to our novel technologies and products that are important to our business.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steps we have taken to police and protect our proprietary rights may not be adequate to preclude misappropriation of our proprietary information or infringement of our intellectual property rights, both inside and outside the U.S. The rights already granted under any of our currently issued patents and those that may be granted under future issued patents may not provide us with the proprietary protection or competitive advantages that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respect to patent rights, we do not know whether any of our pending patent applications for any of our product candidates will result in the issuance of patents that protect our technology or products, or which will effectively prevent others from commercializing competitive technologies and products. Our pending applications cannot be enforced against third parties practicing the technology claimed in such applications unless and until a patent is issued from such applications. Further, the examination process may require us or our licensors to narrow the claims, which may limit the scope of patent protection that may be obtained. Although our license agreement with Dong-A includes a number of issued patents that are exclusively licensed to us, the issuance of a patent is not conclusive as to its inventorship, scope, validity or enforceability, issued patents that we own or have licensed from third parties may be challenged in the courts or patent offices in the U.S.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may, in some cases, not be possible. In some cases, it may be difficult or impossible to detect third party infringement or misappropriation of our intellectual property rights, even in relation to issued patent claims, and proving any such infringement may be even more difficult.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practice our intellectual property rights throughout the world.</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jurisdictions where we have not obtained patent protection, competitors may use our intellectual property to develop their own products and further, may export otherwise infringing products to territories where we have patent protection, but where it is more difficult to enforce a patent as compared to the U.S. competitor products may compete with our product candidates, if approved, or any future product candidate in jurisdictions where we do not have issued or granted patents or where we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addition to the possibility of litigation relating to infringement claims asserted against us, we may become a party to other patent litigation and other proceedings,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intellectual property, including patents that may be issued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our technology. An adverse determination in any litigation or defense proceedings could put our intellectual property at risk of being invalidated or interpreted narrowly and could put our patent applications at risk of not being issued.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breadth or strength of our patent or other intellectual property rights is compromised or threatened, it could allow third parties to commercialize our technology or products or result in our inability to commercialize our technology and products without infringing third-party intellectual property rights. Further, third parties may be dissuaded from collaborating with us.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Moreover, intellectual property law relating to the fields in which we operate is still evolving and, consequently, patent and other intellectual property positions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the combined organization’s common stock could be significantly harmed.</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to use our proprietary technologies without infringing the proprietary rights of third parties. We may become party to, or threatened with, future adversarial proceedings or litigation regarding intellectual property rights with respect to our products and technology, including interference and various post grant proceedings before the USPTO or non-U.S. opposition proceedings. Third parties may assert infringement claims against us based on existing patents or patents that may be granted in the future.</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result of any such infringement claims, or to avoid potential claims, we may choose or be compelled to seek intellectual property licenses from third parties. These licenses may not be available on acceptable terms, or at all. Even if we are able to obtain a license, the license would likely obligate us to pay license fees or royalties or both, and the rights granted to us likely would be nonexclusive, which would mean that our competitors also could obtain licenses to the same intellectual property. Ultimately, we could be prevented from commercializing a product candidate or technology or be forced to cease some aspects of our business operations if, as a result of actual or threatened infringement claims, we are unable to enter into licenses of the relevant intellectual property on acceptable terms. Further, if we attempt to modify a product candidate or technology or to develop alternative methods or products in response to infringement claims or to avoid potential claims, we could incur</w:t>
      </w:r>
    </w:p>
    <w:p>
      <w:pPr>
        <w:sectPr>
          <w:pgSz w:w="11900" w:h="16838" w:orient="portrait"/>
          <w:cols w:equalWidth="0" w:num="1">
            <w:col w:w="9240"/>
          </w:cols>
          <w:pgMar w:left="1320" w:top="513" w:right="133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costs, encounter delays in product introductions or interruptions in sales. Ultimately, such efforts could be unsuccessful.</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our employees or we have wrongfully used or disclosed alleged trade secrets of their former employers.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employees and consultants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or intellectual property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product candidates, which would adversely affect our commercial development efforts.</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trade secrets are difficult to protect and if we are unable to protect the confidentiality of our trade secrets, our business and competitive position would be harmed.</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seeking patents for some of our technologies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non-competition, non-solicitation, and invention assignment agreements with our employees and consultants that obligate them to assign to us any inventions developed in the course of their work for us. However, we cannot guarantee that we have executed these agreements with each party that may have or have had access to our trade secrets or that the agreements we have executed will provide adequate protection. Despite these efforts, any of these parties may breach the agreements and disclose our proprietary information, including our trade secrets, and we may not be able to seek patent protection on technology relating to our product candidates or obtain adequate remedies for such breaches. As a result, we may be forced to bring claims against third parties, or defend claims that they bring against us, to determine ownership of what we regard as our intellectual property. Monitoring unauthorized disclosures is difficult and we do not know whether the procedures that we have followed to prevent such disclosure are or will be adequate. Enforcing a claim that a party illegally disclosed or misappropriated a trade secret is difficult, expensive and time-consuming, and the outcome is unpredictable. In addition, some courts inside and outside the U.S. may be less willing or unwilling to protect trade secrets.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if any of the technology or information that we protect as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and maintain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have a material adverse effect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1" w:lineRule="exact"/>
        <w:rPr>
          <w:sz w:val="20"/>
          <w:szCs w:val="20"/>
          <w:color w:val="auto"/>
        </w:rPr>
      </w:pPr>
    </w:p>
    <w:p>
      <w:pPr>
        <w:ind w:left="680" w:hanging="330"/>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 product candidates but that are not covered by the claims of the patents that we own or have exclusively licensed;</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the issued patent or pending patent application that we own or have exclusively licensed;</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certain of our inventions;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R&amp;D activities in countries where we do not have patent rights and then use the information learned from such activities to develop competitive products for sale in our major commercial markets;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44" w:lineRule="exact"/>
        <w:rPr>
          <w:sz w:val="20"/>
          <w:szCs w:val="20"/>
          <w:color w:val="auto"/>
        </w:rPr>
      </w:pPr>
    </w:p>
    <w:p>
      <w:pPr>
        <w:ind w:right="1100"/>
        <w:spacing w:after="0" w:line="412"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significantly harm our business, results of operations and prospects. </w:t>
      </w:r>
      <w:r>
        <w:rPr>
          <w:rFonts w:ascii="Times New Roman" w:cs="Times New Roman" w:eastAsia="Times New Roman" w:hAnsi="Times New Roman"/>
          <w:sz w:val="18"/>
          <w:szCs w:val="18"/>
          <w:b w:val="1"/>
          <w:bCs w:val="1"/>
          <w:color w:val="auto"/>
        </w:rPr>
        <w:t>Risks related to operations, employee matters and managing growth</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small number of employees and consultants, and our future success depends on our ability to retain our executive officers and to attract, retain and motivate qualified personnel.</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we rely heavily on our ability to attract and retain qualified scientific, technical and managerial personnel. We are highly dependent upon current members of our management and scientific team. We intend to increase our technical and management staff as needs arise and supporting resources become available, but the loss of one or more of our senior executive officers could be detrimental to us if we cannot recruit suitable replacements in a timely manner. The competition for qualified personnel in the pharmaceutical field is intense and as a result, we may be unable to continue to attract and retain qualified personnel necessary for the development of our business or to recruit suitable replacement personnel.</w:t>
      </w:r>
    </w:p>
    <w:p>
      <w:pPr>
        <w:sectPr>
          <w:pgSz w:w="11900" w:h="16838" w:orient="portrait"/>
          <w:cols w:equalWidth="0" w:num="1">
            <w:col w:w="9240"/>
          </w:cols>
          <w:pgMar w:left="1320" w:top="513" w:right="1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organization, and we may experience difficulties in managing this growth.</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small number of employees, and our management systems currently in place are not likely to be adequate to support our future growth plans. Our ability to grow and to manage our growth effectively will require us to hire, train, retain, manage and motivate additional employees and to implement and improve our operational, financial and management systems. These demands also may require the hiring of additional senior management personnel or the development of additional expertise by our senior management personnel. Hiring a significant number of additional employees, particularly those at the management level, would increase our expenses significantly. Moreover, if we fail to expand and enhance our operational, financial and management systems in conjunction with our potential future growth, it could have a material adverse effect on our business, financial condition and results of operations.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nine full-time employees. As our development and commercialization plans and strategies develop, or as a result of any future acquisitions, we may need additional managerial, operational, development, sales, marketing, financial and other resources. Our management, personnel and systems currently in place may not be adequate to support our future growth. Future growth would impose significant added responsibilities on our employees, including:</w:t>
      </w:r>
    </w:p>
    <w:p>
      <w:pPr>
        <w:spacing w:after="0" w:line="99" w:lineRule="exact"/>
        <w:rPr>
          <w:sz w:val="20"/>
          <w:szCs w:val="20"/>
          <w:color w:val="auto"/>
        </w:rPr>
      </w:pPr>
    </w:p>
    <w:p>
      <w:pPr>
        <w:ind w:left="680" w:hanging="330"/>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contractors and other third parties; and</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systems.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our operations expand, we will need to manage additional relationships with various CROs, strategic partners,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R&amp;D, and sales and marketing personnel. We may not be able to accomplish these tasks, and our failure to accomplish any of them could prevent us from successfully growing MetaVia.</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intend to market our product candidates outside of the U.S., and if we do, we will be subject to the risks of doing business outside of the U.S.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intend to market our product candidates, if approved, outside of the U.S., our business is subject to risks associated with doing business outside of the U.S. Accordingly, our business and financial results in the future could be adversely affected due to a variety of factors, including:</w:t>
      </w:r>
    </w:p>
    <w:p>
      <w:pPr>
        <w:spacing w:after="0" w:line="95" w:lineRule="exact"/>
        <w:rPr>
          <w:sz w:val="20"/>
          <w:szCs w:val="20"/>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an international sales, marketing and distribution system for our products;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and cultural climate or economic condition;</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foreign laws and regulatory requirements;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effective enforcement of contractual provisions in local jurisdictions;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intellectual property protection in foreign countries;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data protection against unfair commercial use;</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trade-protection measures, import or export licensing requirements such as Export Administration Regulations promulgated by the U.S. Department of Commerce and fines, penalties or suspension or revocation of export privileges;</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applicable foreign tax structures and potentially adverse tax consequences; and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changes in foreign currency exchange rates.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highly competitive and is subject to rapid and significant technological change, which could render our technologies and products obsolete or uncompetitive.</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pharmaceutical industry is highly competitive and is subject to rapid and significant technological change, which could render certain of our products obsolete or uncompetitive. This is particularly true in the development of therapeutics for indications where new products and combinations of products are rapidly being developed that change the treatment paradigm for patients. There is no assurance that our product candidates will be the most effective, have the best safety profile, be the first to market, or be the most economical to make or use. The introduction of competitive therapies as alternatives to our product candidates could dramatically reduce the value of those development projects or chances of successfully commercializing those product candidates, which could have a material adverse effect on our long-term financial success.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compete with companies in the U.S. and internationally, including major pharmaceutical and chemical companies, specialized CROs, R&amp;D firms, universities and other research institutions. Many of our competitors have greater financial resources and selling and marketing capabilities, greater experience in clinical testing and human clinical trials of pharmaceutical products and greater experience in obtaining FDA and other regulatory approvals than we do. In addition, some of our competitors may have lower development and manufacturing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holders of our common stock.</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95" w:lineRule="exact"/>
        <w:rPr>
          <w:sz w:val="20"/>
          <w:szCs w:val="20"/>
          <w:color w:val="auto"/>
        </w:rPr>
      </w:pPr>
    </w:p>
    <w:p>
      <w:pPr>
        <w:ind w:left="680" w:hanging="330"/>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clinical trials, regulatory decisions or the development status of our product candidates or any product candidates we may pursue in the future;</w:t>
      </w:r>
    </w:p>
    <w:p>
      <w:pPr>
        <w:spacing w:after="0" w:line="94"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additional funds on satisfactory terms, or at all, necessary for the continued development of our product candidates whether through potential collaborative, partnering or other strategic arrangements or otherwise;</w:t>
      </w:r>
    </w:p>
    <w:p>
      <w:pPr>
        <w:spacing w:after="0" w:line="115"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collaborative, licensing or other strategic arrangements that we may establish;</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minimum listing requirements of Nasdaq;</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achievement of, or failure to achieve, our, or any potential collaborator’s clinical, regulatory and other milestones, such as the commencement of clinical development, the completion of a clinical trial or the receipt of regulatory approval;</w:t>
      </w:r>
    </w:p>
    <w:p>
      <w:pPr>
        <w:spacing w:after="0" w:line="115"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initiate a clinical trial, not initiate a clinical trial, or terminate an existing clinical trial;</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our product candidates or regulatory actions requiring or leading to a delay or stoppage of any clinical trials;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product approved by the FDA or its foreign counterparts;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or regulations;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suppliers, collaborators and other third parties;</w:t>
      </w:r>
    </w:p>
    <w:p>
      <w:pPr>
        <w:spacing w:after="0" w:line="157"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health epidemics or contagious diseases, and potential effects on our business, clinical trial sites, supply chain and manufacturing facilities;</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patents covering our product candidates expire or are invalidated or are found to be unenforceable, or if some or all of our patent applications do not result in issued patents or result in patents with narrow, overbroad, or unenforceable claims;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any product candidates;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announcements or our competitor’s announcements regarding new products, enhancements, significant contracts, acquisitions or strategic partnerships and investments;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our target markets;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companies perceived to be similar to us, failure to meet external expectations, or management guidance;</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financial results or the quarterly financial results of companies perceived to be similar to us;</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recommendations, earning results or estimates or withdrawal of research coverage by securities analysts;</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political and market conditions due to military conflicts or war, inflation, increases in interest rates, health epidemics, the imposition of tariffs by the U.S. or other countries or trade wars;</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common stock by officers, directors and significant stockholders or our incurrence of debt;</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 and ineffectiveness of our internal controls;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litigation or developments relating to proprietary rights;</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milestones and royalty payments; and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Nasdaq, and the stock of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 may use its significant interest to take actions not supported by our other stockholders.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our largest stockholder, Dong-A beneficially owned approximately 62% of our voting rights. As a result, Dong-A is able to exert a significant influence on the outcome of corporate actions requiring stockholder approval, including mergers, share capital increases and other extraordinary items.</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pursuant to the Investor Rights Agreement between us and Dong-A, Dong-A has the right to appoint a number of our directors commensurate with its percentage holding of our common stock, which may result in Dong-A controlling both the determinations of the board of directors (“Board”) and the vote of all matters submitted to a vote of our stockholders, which enables them to control all corporate decisions. This concentration of ownership may delay, deter or prevent acts that would be favored by our other stockholders. The interests of Dong-A may not always coincide with our interests or the interests of our other stockholders. For as long as Dong-A owns shares of our common stock and the Investor Rights Agreement is effective, Dong-A will have significant influence on our management, business plans and policies, including the appointment and removal of members of our Board, decisions on whether to raise future capital and amending our certificate of incorporation and bylaws, which govern the rights attached to our common stock. In particular, with a significant ownership percentage of our stock, Dong-A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MetaVia and ultimately might affect the market price of our common stock. In addition, this concentration of ownership may adversely affect the trading price of our common stock because investors may perceive disadvantages in owning shares in a company with significant stockholders.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Dong-A and its affiliates engage in a broad spectrum of activities, including investments in the healthcare industry generally. In the ordinary course of its business activities, Dong-A and its affiliates may engage in activities where their interests conflict with our interests or those of our other stockholders, such as investing in or advising businesses that directly or indirectly compete with certain portions of our business or are suppliers or customers of ours. Nothing in our certificate of incorporation provides that neither Dong-A or any of their affiliates or any director who is not employed by us (including any non-employee director who serves as one of our officers in both her or his director and officer capacities) or its affiliates have any duty to refrain from engaging, directly or indirectly, in the same business activities or similar business activities or lines of business in which we operate. Dong-A also may pursue acquisition opportunities that may be complementary to our business, and, as a result, those acquisition opportunities may not be available to us. In addition, Dong-A may have an interest in pursuing acquisitions, divestitures and other transactions that, in their judgment, could enhance its investment, even though such transactions might involve risks to our stockholders.</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 controlled company within the meaning of Nasdaq listing requirements and as a result, may rely on exemptions from certain corporate governance requirements. To the extent we rely on such exemptions, you will not have the same protections afforded to stockholders of companies that are subject to such corporate governance requirements.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Because of the voting power over our Company held by Dong-A and the Investor Rights Agreement between such parties, we are considered a controlled company for the purposes of Nasdaq listing requirements. As such, we are exempt from the corporate governance requirements that our Board, compensation committee, and nominating and corporate governance committee meet the standard of independence established by those corporate governance requirements. The independence standards are intended to ensure that directors who meet the independence standards are free of any conflicting interest that could influence their actions as directors.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We do not currently utilize the exemptions afforded to a controlled company, though we are entitled to do so. To the extent we utilize these exemptions, you will not have the same protections afforded to stockholders of companies that are subject to all of the corporate governance requirements of Nasdaq.</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make an acquisition of MetaVia, which may be beneficial to our stockholders, more difficult and may prevent attempts by our stockholders to replace or remove our current management.</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in our certificate of incorporation and the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stockholders to replace or remove their current management by making it more difficult for stockholders to replace members of our Board. Among other things, these provisions:</w:t>
      </w:r>
    </w:p>
    <w:p>
      <w:pPr>
        <w:spacing w:after="0" w:line="106" w:lineRule="exact"/>
        <w:rPr>
          <w:sz w:val="20"/>
          <w:szCs w:val="20"/>
          <w:color w:val="auto"/>
        </w:rPr>
      </w:pPr>
    </w:p>
    <w:p>
      <w:pPr>
        <w:ind w:left="680" w:hanging="330"/>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such that not all members of the Board are elected at one time;</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w:t>
      </w:r>
    </w:p>
    <w:p>
      <w:pPr>
        <w:spacing w:after="0" w:line="157"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our stockholders can remove directors from the Board;</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calling special meetings;</w:t>
      </w:r>
    </w:p>
    <w:p>
      <w:pPr>
        <w:spacing w:after="0" w:line="144" w:lineRule="exact"/>
        <w:rPr>
          <w:rFonts w:ascii="Times New Roman" w:cs="Times New Roman" w:eastAsia="Times New Roman" w:hAnsi="Times New Roman"/>
          <w:sz w:val="18"/>
          <w:szCs w:val="18"/>
          <w:color w:val="auto"/>
        </w:rPr>
      </w:pPr>
    </w:p>
    <w:p>
      <w:pPr>
        <w:jc w:val="both"/>
        <w:ind w:left="680" w:hanging="330"/>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preferred stock without stockholder approval, which preferred stock may include rights superior to the rights of the holders of common stock, and which could be used to institute a shareholder rights plan, or so-called “poison pill,” that would work to dilute the stock ownership of a potential hostile acquirer, effectively preventing acquisitions that have not been approved by our Board; and</w:t>
      </w:r>
    </w:p>
    <w:p>
      <w:pPr>
        <w:spacing w:after="0" w:line="98"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certain provisions of our charter or bylaws.</w:t>
      </w:r>
    </w:p>
    <w:p>
      <w:pPr>
        <w:sectPr>
          <w:pgSz w:w="11900" w:h="16838" w:orient="portrait"/>
          <w:cols w:equalWidth="0" w:num="1">
            <w:col w:w="9240"/>
          </w:cols>
          <w:pgMar w:left="1320" w:top="513" w:right="1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it for a period of three years after the date of the transaction in which the person acquired in excess of 15% of our outstanding voting stock, unless the merger or combination is approved in a prescribed manner.</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the continued listing requirements of Nasdaq, such that our common stock may be delisted and the price of our common stock and our ability to access the capital markets could be negatively impacted.</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for trading on Nasdaq. We must satisfy Nasdaq’s continued listing requirements, including, among other things, a minimum closing bid price requirement of $1.00 per share for thirty consecutive business days (the “Minimum Bid Price Requirement”). We have in the past been notified by Nasdaq that we were not in compliance with the Minimum Bid Price Requirement, and while we have regained compliance, there can be no assurance that we will remain compliant with the Minimum Bid Price Requirement, or any other Nasdaq continued listing requirements.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1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reporting requirements applicable to such companies could make our common stock less attractive to investors.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For as long as we continue to be an smaller reporting company, we may take advantage of exemptions from various reporting requirements, including exemption from compliance with the auditor attestation requirements of Section 404 of the Sarbanes-Oxley Act of 2002 (“Sarbanes-Oxley Act”), only being required to provide two years of audited financial statements in our annual reports and reduced disclosure obligations regarding executive compensation in our periodic reports and proxy statements.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We have identified material weaknesses in our internal control over financial reporting that could, if not remediated, result in material misstatements in our financial statements or impair our ability to produce accurate and timely consolidated financial statements.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concluded that there was a material weakness relating to our internal control over financial reporting relating to a lack of management review over clinical trial accruals. For more information about these material weaknesses, see Part II, Item 9A. Controls and Procedures of this report.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Although we have begun to take measures to remediate this material weakness, the measures we have taken, and expect to take, to improve our internal controls may not be sufficient to address the issues identified, to ensure that our internal controls are effective or to ensure that the identified material weakness will not result in a material misstatement of our annual or interim consolidated financial statements. If we are unable to correct material weaknesses or deficiencies in internal controls in a timely manner, our ability to record, process, summarize and report financial information accurately and within the time periods specified in the rules and forms of the SEC will be adversely affected. This failure could negatively affect the market price and trading liquidity of our common stock, cause investors to lose confidence in our reported financial information, subject us to civil and criminal investigations and penalties, and materially and adversely impact our business and financial condition.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system failures or other unplanned events.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regulatory approval efforts and significantly increase our costs to recover or reproduce the data. To the extent that any disruption or security breach was to result in a loss of, or damage to, our data or applications,</w:t>
      </w:r>
    </w:p>
    <w:p>
      <w:pPr>
        <w:sectPr>
          <w:pgSz w:w="11900" w:h="16838" w:orient="portrait"/>
          <w:cols w:equalWidth="0" w:num="1">
            <w:col w:w="9240"/>
          </w:cols>
          <w:pgMar w:left="1320" w:top="513" w:right="13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inappropriate disclosure of confidential or proprietary information, we could incur liability, and the further development and commercialization of our product candidates could be delayed.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any unplanned event, such as flood, fire, explosion, tornadoes, earthquake, extreme weather condition, medical epidemics, power shortage, telecommunication failure or other natural or manmade accidents or incidents that result in us being unable to fully utilize the facilities, may have an adverse effect on our ability to operate the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failure, inadequacy, interruption or security lapse of that technology or loss of data, including any cyber security incidents, may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our contract research organizations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R&amp;D information and business and financial information.</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G&amp;A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maintained.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Nasdaq, but we can provide no assurance that we will be able to maintain an active trading market for our shares on Nasdaq or any other exchange in the future. If there is no active market for our common stock, it may be difficult for our stockholders to sell shares without depressing the market price for the shares or at all.</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business, the price of our stock could decline.</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one or more analysts cover our business and downgrade their evaluations of our stock or publish inaccurate or unfavorable research about our business, the price of our stock could decline. If one or more of these analysts cease to cover our stock, we could lose visibility in the market for our stock, which in turn could cause our stock price and trading volume to decline.</w:t>
      </w:r>
    </w:p>
    <w:p>
      <w:pPr>
        <w:spacing w:after="0" w:line="1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the Dodd-Frank Wall Street Reform and Consumer Protection Act, the listing requirements of the stock exchange upon which our common stock is listed,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However, these rules and regulations are often subject to varying interpretations, in many cases due to their lack of specificity, and, as a result, their application in practice may evolve over time as new guidance is</w:t>
      </w:r>
    </w:p>
    <w:p>
      <w:pPr>
        <w:sectPr>
          <w:pgSz w:w="11900" w:h="16838" w:orient="portrait"/>
          <w:cols w:equalWidth="0" w:num="1">
            <w:col w:w="9240"/>
          </w:cols>
          <w:pgMar w:left="1320" w:top="513" w:right="1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provided by regulatory and governing bodies. This could result in continuing uncertainty regarding compliance matters and higher costs necessitated by ongoing revisions to disclosure and governance practices.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as long as we continue to be an smaller reporting company, we may take advantage of exemptions from various reporting requirements that are applicable to other public companies, including exemption from compliance with the auditor attestation requirements of Section 404 of the Sarbanes-Oxley Act, only being required to provide two years of audited financial statements in our annual reports and reduced disclosure obligations regarding executive compensation in our periodic reports and proxy statements. If we no longer qualify as a “smaller reporting company,” we will need to comply with additional reporting requirements that are applicable to other public companies that may be costly and require management to devote substantial time to compliance with such requirements, such as providing an opinion from our independent registered public accounting firm on the effectiveness of our internal control over financial reporting.</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achieve compliance with Section 404, we are required to engage in a process to document and evaluate our internal control over financial reporting, which is both costly and challenging. In this regard, we must dedicate internal resources, hire additional finance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course of our review and testing, we may identify deficiencies or material weaknesses and be unable to remediate them before we must provide the required reports.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a public company we are required to timely file accurate quarterly and annual reports with the SEC under the Exchange Act. In order to report the results of our operations and financial position on an accurate and timely basis, we will depend on CROs to provide timely and accurate notice of their costs to us. Any failure to report our financial results on an accurate and timely basis could result in sanctions, lawsuits, delisting of our shares from Nasdaq or other adverse consequences that would materially harm our business.</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declaring or paying, in the foreseeable future, any cash dividends and, consequently, the ability of our stockholders to achieve a return on their investment will depend on appreciation in the price of our common stock.</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 on our capital stock and do not currently intend to do so in the foreseeable future. We currently anticipate that we will retain future earnings for the development, operation and expansion of our business.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generally be the sole and exclusive forum for any derivative action or proceeding brought on our behalf, any action asserting a claim of breach of a fiduciary duty owed by any of our directors, officers or other employees to us or our stockholders, any action asserting a claim arising pursuant to any provision of the Delaware General Corporation Law, as amended, the certificate of incorporation or the bylaws or any other action asserting a claim governed by the internal affairs doctrine. This provision does not apply to claims arising under the Securities Act and the Exchange Act or any claim for which the federal courts have exclusive jurisdiction. Any person or entity purchasing or otherwise acquiring any interest in shares of our capital stock shall be deemed to have notice of and to have consented to the provisions of the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provision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ectPr>
          <w:pgSz w:w="11900" w:h="16838" w:orient="portrait"/>
          <w:cols w:equalWidth="0" w:num="1">
            <w:col w:w="9240"/>
          </w:cols>
          <w:pgMar w:left="1320" w:top="513" w:right="1339" w:bottom="144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risks associated with cybersecurity threats. These risks include, among other things, operational risks; intellectual property theft; fraud; extortion; harm to employees, violation of privacy or security laws and other litigation and legal risk; and reputational risks. We are committed to maintaining robust governance and oversight of these risks and to implementing mechanisms, controls, technologies, and processes designed to help us assess, identify, and manage these risks. While we have not, as of the date of this Annual Report, experienced a cybersecurity threat or incident that resulted in a material adverse impact to our business or operations, there can be no guarantee that we will not experience such an incident in the future.</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aim to incorporate industry best practices throughout our cybersecurity program. Our cybersecurity strategy focuses on implementing effective and efficient controls, technologies, and other processes to assess, identify, and manage material cybersecurity risks. Our cybersecurity program is designed to be aligned with applicable industry standards. We work with a third-party provider to monitor threats and potential cybersecurity breaches.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processes in place to assess, identify, manage, and address material cybersecurity threats and incidents. These include, among other things: ongoing security awareness training for employees; mechanisms to detect and monitor unusual network activity; and containment and incident response tools. We monitor issues that are internally discovered or reported by our third-party monitoring service that may affect our information services and have processes to assess those issues for potential cybersecurity impact or risk. We impose security requirements upon our suppliers and CROs, including maintaining an effective security management program; abiding by information handling and asset management requirements; and notifying us in the event of any known or suspected cyber incident.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ultimate oversight of cybersecurity risk, which it manages as part of our enterprise risk management program. That program is utilized in making decisions with respect to Company priorities, resource allocations, and oversight structures. The Board is assisted by the audit committee, which reviews our cybersecurity program with management and reports to the Board.</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central to the Board’s oversight of cybersecurity risks and bears the primary responsibility for this domain. The audit committee is composed of board members with diverse expertise including risk management, technology, and finance, equipping them to oversee cybersecurity risks effectively.</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Executive Officer, Chief Financial Officer and corporate controller have operational experience in assessing and managing cybersecurity risk. Our Chief Executive Officer plays a pivotal role in informing the audit committee on cybersecurity risks. They provide comprehensive briefings to the audit committee on a regular basis, with a minimum frequency of once per year. These briefings encompass a broad range of topics, including:</w:t>
      </w:r>
    </w:p>
    <w:p>
      <w:pPr>
        <w:spacing w:after="0" w:line="99" w:lineRule="exact"/>
        <w:rPr>
          <w:sz w:val="20"/>
          <w:szCs w:val="20"/>
          <w:color w:val="auto"/>
        </w:rPr>
      </w:pPr>
    </w:p>
    <w:p>
      <w:pPr>
        <w:ind w:left="680" w:hanging="330"/>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cybersecurity landscape and emerging threats;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cybersecurity initiatives and strategies;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reports and learnings from any cybersecurity events; and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and industry standards.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scheduled meetings, the audit committee and Chief Executive Officer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MetaVia.</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Chief Financial Officer is informed by our third-party monitoring service of any cybersecurity incidents, who will then escalate the incident to our Chief Executive Officer, if necessary. Furthermore, significant cybersecurity matters, and strategic</w:t>
      </w:r>
    </w:p>
    <w:p>
      <w:pPr>
        <w:sectPr>
          <w:pgSz w:w="11900" w:h="16838" w:orient="portrait"/>
          <w:cols w:equalWidth="0" w:num="1">
            <w:col w:w="9240"/>
          </w:cols>
          <w:pgMar w:left="1320" w:top="513" w:right="1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management decisions are escalated to the Board, ensuring that they have comprehensive oversight and can provide guidance on critical cybersecurity issues.</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lease 2,441 square feet of office space in Cambridge, Massachusetts, as our corporate headquarters. The initial lease term is for three years with an option to renew for an additional two-year term. The lease commenced in September 2023 and expires in August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leased properties are adequate for our purposes and to pursue our strategy.</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consolidated financial statements. Regardless of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jc w:val="both"/>
        <w:ind w:left="800" w:hanging="809"/>
        <w:spacing w:after="0" w:line="28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“MTVA.”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2025, we had 8,654,869 shares of common stock outstanding and 52 holders of record of our common stock. The transfer agent and registrar for our common stock is Equiniti Trust Company, LLC.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we do not currently intend to pay any dividends on our common stock for the foreseeable future. Any future determination to pay dividends on our common stock will be, subject to applicable law, at the discretion of our Board and will depend upon, among other factors, our results of operations, financial condition, capital requirements, and contractual restrictions in loan or other agreements.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offerings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did not issue or sell any unregistered securities not previously disclosed in a Quarterly Report on Form 10-Q or in a Current Report on Form 8-K.</w:t>
      </w:r>
    </w:p>
    <w:p>
      <w:pPr>
        <w:spacing w:after="0" w:line="90" w:lineRule="exact"/>
        <w:rPr>
          <w:sz w:val="20"/>
          <w:szCs w:val="20"/>
          <w:color w:val="auto"/>
        </w:rPr>
      </w:pPr>
    </w:p>
    <w:p>
      <w:pPr>
        <w:ind w:right="400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Purchases of equity securities by the issuer and affiliated purchasers </w:t>
      </w:r>
      <w:r>
        <w:rPr>
          <w:rFonts w:ascii="Times New Roman" w:cs="Times New Roman" w:eastAsia="Times New Roman" w:hAnsi="Times New Roman"/>
          <w:sz w:val="18"/>
          <w:szCs w:val="18"/>
          <w:color w:val="auto"/>
        </w:rPr>
        <w:t>None.</w:t>
      </w:r>
    </w:p>
    <w:p>
      <w:pPr>
        <w:spacing w:after="0" w:line="1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3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information set forth under our consolidated financial statements and the notes to those financial statements included elsewhere in this Annual Report. This discussion contains forward-looking statements based upon current expectations that involve risks and uncertainties. See “Special Note Regarding Forward-Looking Statements.” Our actual results may differ materially from those contained in or implied by any forward-looking statements as a result of various factors, including, but not limited to, the risks and uncertainties described under “Risk Factors” elsewhere in this Annual Report.</w:t>
      </w:r>
    </w:p>
    <w:p>
      <w:pPr>
        <w:sectPr>
          <w:pgSz w:w="11900" w:h="16838" w:orient="portrait"/>
          <w:cols w:equalWidth="0" w:num="1">
            <w:col w:w="9240"/>
          </w:cols>
          <w:pgMar w:left="1320" w:top="513" w:right="1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amounts in the following discussion and analysis may not add due to rounding, and all percentages have been calculated using unrounded amounts.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focused primarily on developing novel pharmaceuticals to treat cardiometabolic diseases. MetaVia has two programs focused primarily on the treatment of MASH and obesity.</w:t>
      </w:r>
    </w:p>
    <w:p>
      <w:pPr>
        <w:spacing w:after="0" w:line="94" w:lineRule="exact"/>
        <w:rPr>
          <w:sz w:val="20"/>
          <w:szCs w:val="20"/>
          <w:color w:val="auto"/>
        </w:rPr>
      </w:pPr>
    </w:p>
    <w:p>
      <w:pPr>
        <w:jc w:val="both"/>
        <w:ind w:left="680" w:hanging="330"/>
        <w:spacing w:after="0" w:line="254"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DA-1241 is a novel GPR119 agonist with development optionality as a standalone and/or combination therapy for both MASH and T2DM. Agonism of GPR119 in the gut promotes the release of key gut peptides, GLP-1, GIP and PYY. These peptides play a further role in glucose metabolism, lipid metabolism and weight loss. DA-1241 has demonstrated beneficial effects on glucose, lipid profile and liver inflammation, as demonstrated during in-vivo preclinical studies.</w:t>
      </w:r>
    </w:p>
    <w:p>
      <w:pPr>
        <w:spacing w:after="0" w:line="106"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DA-1726 is a novel oxyntomodulin analogue functioning as a GLP1R and GCGR dual agonist for the treatment of obesity that is designed to be administered once weekly subcutaneously. With the activation of the dual agonist, weight loss may be achieved by GLP1R reducing appetite while GCGR increases energy expenditure.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While we primarily focus our financial resources and management’s attention on the development of DA-1241 and DA-1726, we also have four legacy therapeutic programs designed to impact a range of indications in viral, neurodegenerative and cardiometabolic diseases, which we are not planning to advance development on and have, or continue to consider for, out-licensing and divestiture opportunities. In July 2024, we entered into an exclusive out-license agreement with MThera to provide MThera with the rights to NB-01 for the treatment of painful diabetic neuropathy.</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Our operations have consisted principally of performing R&amp;D activities, which include preclinical developments and clinical trials, and raising capital. Our activities are subject to significant risks and uncertainties, such as failing to secure additional funding before sustainable revenues and profit from operations are achieved. </w:t>
      </w:r>
      <w:r>
        <w:rPr>
          <w:rFonts w:ascii="Times New Roman" w:cs="Times New Roman" w:eastAsia="Times New Roman" w:hAnsi="Times New Roman"/>
          <w:sz w:val="18"/>
          <w:szCs w:val="18"/>
          <w:color w:val="000000"/>
        </w:rPr>
        <w:t>For more information on our business and product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candidates, see Part I, Item 1. Business of this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8" w:lineRule="exact"/>
        <w:rPr>
          <w:sz w:val="20"/>
          <w:szCs w:val="20"/>
          <w:color w:val="auto"/>
        </w:rPr>
      </w:pPr>
    </w:p>
    <w:p>
      <w:pPr>
        <w:ind w:left="680" w:hanging="330"/>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2024: Announced positive top-line 16-week results from the two-part Phase 2a clinical trial in patients with presumed MASH.</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2024: Announced a strategic realignment, ahead of important clinical milestones, with a corporate name change to MetaVia Inc.</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2024: Announced completion of last patient last visit for Phase 2a clinical trial evaluating DA-1241 for the treatment of MASH.</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2024: Announced positive top-line data from the SAD Part 1 of our Phase 1 clinical trial evaluating DA-1726 for the treatment of obesity.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information</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R&amp;D expenses consist primarily of costs incurred in connection with the development of our product candidates. These expenses include:</w:t>
      </w:r>
    </w:p>
    <w:p>
      <w:pPr>
        <w:spacing w:after="0" w:line="81" w:lineRule="exact"/>
        <w:rPr>
          <w:sz w:val="20"/>
          <w:szCs w:val="20"/>
          <w:color w:val="auto"/>
        </w:rPr>
      </w:pPr>
    </w:p>
    <w:p>
      <w:pPr>
        <w:ind w:left="680" w:hanging="330"/>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for employees engaged in research and development functions;</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clinical development of our product candidates, including under agreements with third parties, such as consultants and CROs;</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storing drug products for use in our preclinical studies and clinical trials, including under agreements with third parties, such as consultants and Clinical Manufacturing Organizations (“CMOs”);</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or allocated expenses for rent and maintenance of facilities and insurance;</w:t>
      </w:r>
    </w:p>
    <w:p>
      <w:pPr>
        <w:spacing w:after="0" w:line="9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 external development costs based on an evaluation of the progress toward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provided and the associated cost incurred for the service when we have not yet been invoiced or otherwise notified of actual costs.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direct research and development expenses consist primarily of external costs, such as fees paid to outside consultants, CROs, CMOs and research laboratories in connection with our clinical development, quality assurance and quality control processes, manufacturing, and clinical development activities. Our direct research and development expenses also include fees incurred under third-party license agreements. We use our employee and infrastructure resources across multiple research and development projects. We do not allocate employee costs and costs associated with our facilities, including depreciation or other indirect costs, to specific product candidates because these costs are deployed across multiple programs and, as such, are not separately classified. We use internal resources to manage CMO and CRO activities. These employees work across multiple programs. We do not track our costs by product candidate.</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activities are central to our business model. We do not believe that our historical costs are indicative of the future costs associated with these programs, nor do they represent the costs of other future programs we may initiate. Product candidates in later stages of clinical development generally have higher development costs than those in earlier stages of clinical development, primarily due to the increased size and duration of later-stage clinical trials. We have some control over the timing of these expenses, but costs may be difficult to control once clinical trials have commenced.</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are highly uncertain. At this time, we cannot reasonably estimate or know the nature, timing and costs of the efforts that will be necessary to complete the preclinical and clinical development of any of our product candidates. Additionally, because of the risks inherent in novel treatment discovery and development, we cannot reasonably estimate or know:</w:t>
      </w:r>
    </w:p>
    <w:p>
      <w:pPr>
        <w:spacing w:after="0" w:line="119" w:lineRule="exact"/>
        <w:rPr>
          <w:sz w:val="20"/>
          <w:szCs w:val="20"/>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that we decide to pursue;</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approvals from applicable regulatory authorities;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4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any of our product candidates is approved;</w:t>
      </w:r>
    </w:p>
    <w:p>
      <w:pPr>
        <w:spacing w:after="0" w:line="80"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our clinical trials and for commercial launch;</w:t>
      </w:r>
    </w:p>
    <w:p>
      <w:pPr>
        <w:spacing w:after="0" w:line="80"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commercialization; or</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Acquired in-process research and development expenses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include costs to acquire or in-license product candidates in-process research and development (“IPR&amp;D”). When we acquire the right to develop and commercialize a new product candidate, any up-front payments, or any future milestone payments that relate to the acquisition or licensing of such a right are immediately expensed as acquired in-process research and development in the period in which they are incurred. These costs are immediately expensed provided that the payments do not also represent processes or activities that would constitute a “business,” or provided that the product candidate has not achieved regulatory approval for marketing and, absent obtaining such approval, has no alternative future use. Royalties owed on future sales of any licensed product will be expensed in the period the related revenues are recognized.</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G&amp;A expenses consist primarily of salaries and related costs, including stock-based compensation, for personnel in executive, finance and administrative functions. G&amp;A expenses also include direct and allocated facility-related costs as well as professional fees for legal, patent, consulting, investor and public relations, accounting, and audit services.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G&amp;A expenses will increase in the future as a result of accounting, audit, legal, regulatory, compliance, and director and officer insurance costs as we pursue the development of our product pipeline, as well as investor and public relations expenses associated with being a public company.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had significant pre-tax losses since our inception, and we have not yet generated revenues and face significant challenges to becoming profitable. Accordingly, we recorded a valuation allowance on the deferred tax assets attributable to the NOL we have incurred in each year or for our earned R&amp;D credits. We will continue to monitor all positive and negative evidence until we believe it is more likely than not that the valuation allowance is no longer necessary, resulting in an income tax benefit in the period such determination is made.</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U.S. federal NOL carryforwards and U.S. federal R&amp;D credit carryforwards, and these carryforwards will not expire. We also have state NOL carryforwards and state R&amp;D credit carryforwards. Our state NOL and R&amp;D credit carryforwards will begin to expire in 2042, if not utilized.</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Our ability to generate product revenue sufficient to achieve profitability will depend on the successful development and eventual commercialization of one or more of our current or future product candidates. To date, we have not generated any revenue from product sales, collaborations with other companies, government grants or any other source, and do not expect to generate any revenue in the foreseeable future.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Accumulated deficit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accumulated deficit, and we expect to continue to incur significant expenses and increasing operating losses for at least the next several years. We expect that our expenses and capital requirements will increase substantially in connection with our ongoing activities, particularly if and as we:</w:t>
      </w:r>
    </w:p>
    <w:p>
      <w:pPr>
        <w:spacing w:after="0" w:line="108" w:lineRule="exact"/>
        <w:rPr>
          <w:sz w:val="20"/>
          <w:szCs w:val="20"/>
          <w:color w:val="auto"/>
        </w:rPr>
      </w:pPr>
    </w:p>
    <w:p>
      <w:pPr>
        <w:ind w:left="680" w:hanging="330"/>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clinical development for our current product candidates;</w:t>
      </w:r>
    </w:p>
    <w:p>
      <w:pPr>
        <w:spacing w:after="0" w:line="144" w:lineRule="exact"/>
        <w:rPr>
          <w:rFonts w:ascii="Times New Roman" w:cs="Times New Roman" w:eastAsia="Times New Roman" w:hAnsi="Times New Roman"/>
          <w:sz w:val="18"/>
          <w:szCs w:val="18"/>
          <w:color w:val="auto"/>
        </w:rPr>
      </w:pPr>
    </w:p>
    <w:p>
      <w:pPr>
        <w:ind w:left="680" w:hanging="330"/>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with respect to our current product candidates and indications and any future product candidates or indications that we may pursue;</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and/or technologies;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scientific and commercial personnel;</w:t>
      </w:r>
    </w:p>
    <w:p>
      <w:pPr>
        <w:spacing w:after="0" w:line="144" w:lineRule="exact"/>
        <w:rPr>
          <w:rFonts w:ascii="Times New Roman" w:cs="Times New Roman" w:eastAsia="Times New Roman" w:hAnsi="Times New Roman"/>
          <w:sz w:val="18"/>
          <w:szCs w:val="18"/>
          <w:color w:val="auto"/>
        </w:rPr>
      </w:pPr>
    </w:p>
    <w:p>
      <w:pPr>
        <w:ind w:left="680" w:hanging="330"/>
        <w:spacing w:after="0" w:line="266"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 manufacturing source and secure supply chain capacity sufficient to provide commercial quantities of any product candidates for which we may obtain regulatory approval;</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80" w:hanging="330"/>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and/or enter into partnership arrangements to commercialize any products for which we may obtain regulatory approval; or</w:t>
      </w:r>
    </w:p>
    <w:p>
      <w:pPr>
        <w:spacing w:after="0" w:line="80"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administrative, operational, financial and management information systems and personnel, including personnel to support our product development and planned future commercialization efforts, and to support being a public reporting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2024 and 2023 (in thousands, other than share and per share amounts):</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09"/>
        </w:trPr>
        <w:tc>
          <w:tcPr>
            <w:tcW w:w="4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21,553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w:t>
            </w:r>
          </w:p>
        </w:tc>
      </w:tr>
      <w:tr>
        <w:trPr>
          <w:trHeight w:val="216"/>
        </w:trPr>
        <w:tc>
          <w:tcPr>
            <w:tcW w:w="4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7,256</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r>
      <w:tr>
        <w:trPr>
          <w:trHeight w:val="209"/>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28,809</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10"/>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(28,809)</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4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920</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0"/>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1,217</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(27,592)</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16"/>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(27,592)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197"/>
        </w:trPr>
        <w:tc>
          <w:tcPr>
            <w:tcW w:w="46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 of common stock, basic and diluted</w:t>
            </w:r>
          </w:p>
        </w:tc>
        <w:tc>
          <w:tcPr>
            <w:tcW w:w="44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(3.56)</w:t>
            </w:r>
          </w:p>
        </w:tc>
        <w:tc>
          <w:tcPr>
            <w:tcW w:w="3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basic and diluted</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7,757,128</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5,071,101</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Operating expenses and loss from operations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operating expenses and loss from operations for 2024 were $28.8 million, an increase of $12.9 million, or 81.3%, compared to 2023. This increase was attributable to higher R&amp;D and G&amp;A expenses.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R&amp;D expenses were $21.6 million for 2024, an increase of $12.4 million, or 135.3%, compared to 2023. </w:t>
      </w:r>
      <w:r>
        <w:rPr>
          <w:rFonts w:ascii="Times New Roman" w:cs="Times New Roman" w:eastAsia="Times New Roman" w:hAnsi="Times New Roman"/>
          <w:sz w:val="18"/>
          <w:szCs w:val="18"/>
          <w:color w:val="212529"/>
        </w:rPr>
        <w:t>This increase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primarily related to increased R&amp;D activities related to Phase 2a clinical trial for DA-1241 and Phase 1 trial for DA-1726 for 2024 as compared to 2023 when R&amp;D activities began to ramp up following the acquisition of DA-1241 and DA-1726 in the fourth quarter of 2022. </w:t>
      </w:r>
      <w:r>
        <w:rPr>
          <w:rFonts w:ascii="Times New Roman" w:cs="Times New Roman" w:eastAsia="Times New Roman" w:hAnsi="Times New Roman"/>
          <w:sz w:val="18"/>
          <w:szCs w:val="18"/>
          <w:color w:val="000000"/>
        </w:rPr>
        <w:t>Specifically, the increase in R&amp;D expenses was primarily attributable to (i) $9.3 million in higher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clinical trial expenditures, (ii) $2.5 million in higher expenditures for investigational drug manufacturing, non-clinical and preclinical costs related to expenses incurred under the Shared Services Agreement with Dong-A, and (iii) $1.2 million in higher employee compensation and benefits. These increases were partially offset by (i) $0.2 million in lower consulting expenditures and (ii) $0.4 million in lower other R&amp;D costs.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G&amp;A expenses were $7.3 million for 2024, an increase of $0.5 million, or 7.8%, compared to 2023. This increase was primarily attributable to $1.0 million in higher employee compensation and benefits, partially offset by (i) $0.4 million in lower consulting expenditures, and (ii) $0.1 million in lower legal and professional fees.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other income for 2024 was $1.2 million, a decrease of $2.2 million, or 64.4%, compared to 2023. This decrease was attributable to $2.7 million in lower gain related to the change in fair value of warrant liabilities due to warrant exercises in 2023 and the impact of our common stock’s declining stock price during the last few years, partially offset by $0.5 million in higher interest income due primarily to higher average invested amount in 2024.</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2024 and 2023 was zero percent as we have recorded a full valuation allowance for the income tax benefits attributable to our pre-tax losses.</w:t>
      </w:r>
    </w:p>
    <w:p>
      <w:pPr>
        <w:sectPr>
          <w:pgSz w:w="11900" w:h="16838" w:orient="portrait"/>
          <w:cols w:equalWidth="0" w:num="1">
            <w:col w:w="9240"/>
          </w:cols>
          <w:pgMar w:left="1320" w:top="513" w:right="1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had a net loss of $27.6 million, or $3.56 per share of basic and diluted common stock, compared to a net loss of $12.5 million, or $2.46 per share of basic and diluted common stock for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 xml:space="preserve">As reflected in the consolidated financial statements, we had $16.0 million in cash as of December 31, 2024. We have experienced net losses and negative cash flows from operating activities since our inception and had an accumulated deficit of $135.9 million as of December 31, 2024. We have incurred a net loss of $27.6 million and net cash used in operating activities of $24.7 million for the year ended December 31, 2024. Due in large part to the ongoing Phase 2a clinical trial for DA-1241 and Phase 1 clinical trial for DA-1726, we expect to continue to incur net losses and negative cash flows from operating activities for the foreseeable future. These conditions raise substantial doubt about our ability to continue as a going concern within one year from the issuance of our consolidated financial statements in </w:t>
      </w:r>
      <w:r>
        <w:rPr>
          <w:rFonts w:ascii="Times New Roman" w:cs="Times New Roman" w:eastAsia="Times New Roman" w:hAnsi="Times New Roman"/>
          <w:sz w:val="18"/>
          <w:szCs w:val="18"/>
          <w:color w:val="000000"/>
        </w:rPr>
        <w:t>Part II, Item 8. Financial Statements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Supplementary Data</w:t>
      </w:r>
      <w:r>
        <w:rPr>
          <w:rFonts w:ascii="Times New Roman" w:cs="Times New Roman" w:eastAsia="Times New Roman" w:hAnsi="Times New Roman"/>
          <w:sz w:val="18"/>
          <w:szCs w:val="18"/>
          <w:color w:val="212529"/>
        </w:rPr>
        <w:t>.</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We believe that our existing cash will be sufficient to fund our operations into the third quarter of 2025. We plan to continue to fund our operations from equity offerings, debt financing, or other sources, potentially including collaborations, out-licensing and other similar arrangements. However, there can be no assurance that we will be able to obtain any sources of financing on acceptable terms, or at all, or that the Series A Warrants will be exercised. To the extent that we can raise additional funds by issuing equity securities or in the event our existing warrants are exercised, our stockholders may experience significant dilution. Any debt financing, if available, 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us.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as to whether we can continue as a going concern contemplates the realization of assets and the satisfaction of liabilities in the normal course of business. Our consolidated financial statements 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use of cash is to fund our R&amp;D activities. We have funded our operations primarily through public offerings of our common stock and private placements of equity and convertible securities. As of December 31, 2024, we had cash totaling $16.0 million. We maintain cash at financial institutions that at times may exceed the Federal Deposit Insurance Corporation (“FDIC”) insured limits of $0.25 million per bank. Our cash balance includes liquid insured deposits, which are obligations of the banks in which the deposits are held and qualify for FDIC insurance protection per depositor in each recognized legal category of account ownership in accordance with the rules of the FDIC. To date, we have not experienced any losses related to these funds.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Registered direct offering and private placement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we closed on a registered direct offering of 763,359 shares of common stock at a purchase price of $3.93 per share for gross proceeds of $3.0 million (the “Registered Direct Offering”) with an institutional investor. The offering of the shares was made pursuant to our effective shelf registration statement on Form S-3 (Registration No. 333-278646), initially filed with and declared effective by the SEC in April 2024, and a prospectus supplement filed with the SEC in June 2024.</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2024, we closed on a private placement offering (the “Private Placement,” and together with the Registered Direct Offering, the “Offering”) with an institutional investor and Dong-A, and received aggregate gross proceeds of $17.0 million, of which $10.0 million was received from Dong-A. The Private Placement was comprised of (i) 2,544,530 shares of common stock, (ii) pre-funded warrants to purchase up to 1,781,171 shares of common stock (the “Pre-Funded Warrants”), (iii) Series A warrants to purchase 5,089,060 shares of common stock (the “Series A Warrants”), and (iv) Series B warrants to purchase up to 7,633,591 shares of common stock (the “Series B Warrants”). For additional information, see “Note 7. Stockholders’ equity” to the consolidated financial statements included elsewhere in this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use of cash in operating activities is to fund our current expenditures in support of our R&amp;D activities and clinical development activities. Financing activities currently represent the principal source of our cash flow.</w:t>
      </w:r>
    </w:p>
    <w:p>
      <w:pPr>
        <w:sectPr>
          <w:pgSz w:w="11900" w:h="16838" w:orient="portrait"/>
          <w:cols w:equalWidth="0" w:num="1">
            <w:col w:w="9240"/>
          </w:cols>
          <w:pgMar w:left="1320" w:top="513" w:right="1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major categories of cash flows for each of the periods presented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0"/>
        </w:trPr>
        <w:tc>
          <w:tcPr>
            <w:tcW w:w="4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(24,710)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18,300</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(6,418)</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$24.7 million for 2024 and consisted of net loss of $27.6 million, partially offset by net cash provided by change in operating assets and liabilities of $2.6 million and non-cash charges totaling $0.3 million, which was primarily related to stock-based compensation and change in fair value of warrant liabilities. Net cash used in operating activities was $10.8 million for 2023 and consisted of net loss of $12.5 million and non-cash credits totaling $2.8 million, which was primarily related to change in fair value of warrant liabilities, partially offset by net cash provided by changes in operating assets and liabilities of $4.4 million.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related to the purchases of property equipment, was less than $0.1 million for 2024 and 2023.</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$18.3 million for 2024 compared to net cash used in financing activities of less than $0.1 million for 2023. Net cash provided by financing activities for 2024 primarily consisted of gross proceeds from the Offering of $20.0 million, net of payment of issuance cost of $1.7 million. Net cash used in financing activities of less than $0.1 million for 2023 was attributable to payment of financing costs related to a prior financing transaction in 2022.</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details, see the consolidated statements of cash flows in the consolidated financial statements included elsewhere in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purchase commitments and employment agreements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 non-cancelable operating lease for our corporate headquarters in Cambridge, Massachusetts. For additional information, see "Note 6. Commitments and contingencies" to the consolidated financial statements included in this Annual Report.</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third parties that include indemnification provisions, which, in our judgment, are normal and customary for companies in our industry sector. These agreements are typically with business partners, clinical sites, and suppliers. Pursuant to these agreements, we generally agree to indemnify, hold harmless, and reimburse indemnified parties for losses suffered or incurred by the indemnified parties with respect to our products or product candidates, use of such products or product candidates, or other actions taken or omitted by us. The maximum potential amount of future payments we could be required to make under these indemnification provisions is sometimes unlimited. We have not incurred material costs to defend lawsuits or settle claims related to these indemnification provisions. As a result, the estimated fair value of liabilities relating to these provisions is minimal. Accordingly, we have no liabilities recorded for these provisions as of December 31, 2024 and 2023.</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may be confronted with issues or events that may result in contingent liability. These generally relate to lawsuits, claims, environmental actions, or the actions of various regulatory agencies. We consult with counsel and other appropriate experts to assess the claim. If, in our opinion, we have incurred a probable loss, an estimate is made of the loss and the appropriate accounting entries are reflected in our financial statements.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license agreements with respect to certain of our product candidates that would obligate us to pay royalties with respect to revenue from such product candidates and milestone payments upon achievement of certain development milestones. As of the date hereof, we do not expect to achieve such milestones in the near term, but we would have to obtain additional capital to pay such milestone payments.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contingent payments and license agreements is in “Note 5. Related party” and "Note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to the consolidated financial statements included in this Annual Report.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purchase commitments is in "Note 6. Commitments and contingencies" to the consolidated financial statements included in this Annual Report.</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employment agreements is in "Note 6. Commitments and contingencies" to the consolidated financial statements included in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included in this Annual Report have been prepared in accordance with accounting principles generally accepted in the United States of America (“GAAP”).</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expenses, and related disclosure of contingent assets and liabilities at the date of the consolidated financial statements and the reported amounts of expenses during the reporting period. The most significant estimates in our consolidated financial statements relate to clinical trial costs and accruals, classification of warrants as derivative liability or equity,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critical accounting estimates and judgements relate to the following items: (i) cash forecast for conclusion about MetaVia’s ability to continue as a going concern, (ii) conclusion on the classification of warrants based on the underlying warrant and transaction agreements, and (iii) clinical trial costs and accruals. Our cash forecast for the 12-month period from the filing date of this Annual Report utilizes current cash balance less estimated payments for future clinical trials and G&amp;A costs plus forecasted cash inflows. Our estimates and judgements used in clinical trial costs and accruals are described below.</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Accrual for research and development costs related to clinical trial activities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record an accrual for R&amp;D costs related to clinical trial activities. This process involves reviewing open contracts and purchase orders, communicating with applicable personnel to identify services that have been performed on our behalf and estimating the level of service provided and the associated cost incurred for the service when we have not yet been invoiced or otherwise notified of actual costs. Certain of our service providers invoice us in arrears for services performed, on a pre-determined schedule or when contractual milestones are met; however, some service providers require advance payments. We make estimates of our accrued and prepaid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R&amp;D expenses include fees paid to:</w:t>
      </w:r>
    </w:p>
    <w:p>
      <w:pPr>
        <w:spacing w:after="0" w:line="109" w:lineRule="exact"/>
        <w:rPr>
          <w:sz w:val="20"/>
          <w:szCs w:val="20"/>
          <w:color w:val="auto"/>
        </w:rPr>
      </w:pPr>
    </w:p>
    <w:p>
      <w:pPr>
        <w:ind w:left="680" w:hanging="330"/>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44"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the production of preclinical and clinical trial materials.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base the expense recorded related to external R&amp;D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(i) adoption of new accounting standards during 2024 and (ii) accounting standards issued but not yet adopted is included in “Note 1. Business, basis of presentation, new accounting standards and summary of significant accounting policies” to the consolidated financial statements included in this Annual Report.</w:t>
      </w:r>
    </w:p>
    <w:p>
      <w:pPr>
        <w:sectPr>
          <w:pgSz w:w="11900" w:h="16838" w:orient="portrait"/>
          <w:cols w:equalWidth="0" w:num="1">
            <w:col w:w="9240"/>
          </w:cols>
          <w:pgMar w:left="1320" w:top="513" w:right="1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2" w:name="page73"/>
    <w:bookmarkEnd w:id="72"/>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242424"/>
        </w:rPr>
        <w:t>We are exposed to market risks in the ordinary course of business. Some potential market risks are discussed below:</w:t>
      </w:r>
    </w:p>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242424"/>
        </w:rPr>
        <w:t>Market risk</w:t>
      </w:r>
    </w:p>
    <w:p>
      <w:pPr>
        <w:spacing w:after="0" w:line="162"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242424"/>
        </w:rPr>
        <w:t>Strategic and operational risks arise if we fail to carry out business operations and/or raise sufficient equity and/or debt financing. These strategic opportunities or risks arise from a range of factors that might include changing economic and political circumstances and regulatory approvals and competitor actions. The risk is mitigated by consideration of other potential development opportunities and challenges which management may undertake.</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242424"/>
        </w:rPr>
        <w:t>Currency risk</w:t>
      </w:r>
    </w:p>
    <w:p>
      <w:pPr>
        <w:spacing w:after="0" w:line="148"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242424"/>
        </w:rPr>
        <w:t>Our operating results and financial position are reported in U.S. dollars. S</w:t>
      </w:r>
      <w:r>
        <w:rPr>
          <w:rFonts w:ascii="Times New Roman" w:cs="Times New Roman" w:eastAsia="Times New Roman" w:hAnsi="Times New Roman"/>
          <w:sz w:val="18"/>
          <w:szCs w:val="18"/>
          <w:color w:val="000000"/>
        </w:rPr>
        <w:t>ome of our</w:t>
      </w:r>
      <w:r>
        <w:rPr>
          <w:rFonts w:ascii="Times New Roman" w:cs="Times New Roman" w:eastAsia="Times New Roman" w:hAnsi="Times New Roman"/>
          <w:sz w:val="18"/>
          <w:szCs w:val="18"/>
          <w:color w:val="242424"/>
        </w:rPr>
        <w:t xml:space="preserve"> financial transactions are denominated in currencies other than the U.S. dollar. Accordingly, our results of operations are subject to currency transaction risks.</w:t>
      </w:r>
    </w:p>
    <w:p>
      <w:pPr>
        <w:spacing w:after="0" w:line="94"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242424"/>
        </w:rPr>
        <w:t>We have no hedging agreements in place with respect to foreign exchange rates. We have not entered into any agreements or purchased any instruments to hedge possible currency risks at this time.</w:t>
      </w:r>
    </w:p>
    <w:p>
      <w:pPr>
        <w:spacing w:after="0" w:line="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242424"/>
        </w:rPr>
        <w:t>Interest rate risk</w:t>
      </w:r>
    </w:p>
    <w:p>
      <w:pPr>
        <w:spacing w:after="0" w:line="162"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242424"/>
        </w:rPr>
        <w:t>Interest rate risk is the risk that the fair value or the future cash flows of a financial instrument will fluctuate as a result of changes in market interest rates. Cash bears interest at market rates.</w:t>
      </w:r>
    </w:p>
    <w:p>
      <w:pPr>
        <w:spacing w:after="0" w:line="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242424"/>
        </w:rPr>
        <w:t>Inflation risk</w:t>
      </w:r>
    </w:p>
    <w:p>
      <w:pPr>
        <w:spacing w:after="0" w:line="162"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242424"/>
        </w:rPr>
        <w:t>If our costs become subject to significant inflationary pressures, it could harm our business, financial condition, and operating results.</w:t>
      </w:r>
    </w:p>
    <w:p>
      <w:pPr>
        <w:spacing w:after="0" w:line="104" w:lineRule="exact"/>
        <w:rPr>
          <w:sz w:val="20"/>
          <w:szCs w:val="20"/>
          <w:color w:val="auto"/>
        </w:rPr>
      </w:pPr>
    </w:p>
    <w:p>
      <w:pPr>
        <w:ind w:left="1"/>
        <w:spacing w:after="0"/>
        <w:tabs>
          <w:tab w:leader="none" w:pos="781"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62"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Reference is made to the financial statements, the notes thereto, and the report thereon, commencing on page F-1 of this Annual Report, which financial statements, notes and report are incorporated herein by reference.</w:t>
      </w:r>
    </w:p>
    <w:p>
      <w:pPr>
        <w:spacing w:after="0" w:line="172" w:lineRule="exact"/>
        <w:rPr>
          <w:sz w:val="20"/>
          <w:szCs w:val="20"/>
          <w:color w:val="auto"/>
        </w:rPr>
      </w:pPr>
    </w:p>
    <w:p>
      <w:pPr>
        <w:ind w:left="1"/>
        <w:spacing w:after="0"/>
        <w:tabs>
          <w:tab w:leader="none" w:pos="781"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left="1"/>
        <w:spacing w:after="0" w:line="256" w:lineRule="auto"/>
        <w:rPr>
          <w:sz w:val="20"/>
          <w:szCs w:val="20"/>
          <w:color w:val="auto"/>
        </w:rPr>
      </w:pPr>
      <w:r>
        <w:rPr>
          <w:rFonts w:ascii="Times New Roman" w:cs="Times New Roman" w:eastAsia="Times New Roman" w:hAnsi="Times New Roman"/>
          <w:sz w:val="18"/>
          <w:szCs w:val="18"/>
          <w:color w:val="auto"/>
        </w:rPr>
        <w:t xml:space="preserve">As required by Rules 13a-15(b) and 15d-15(b) under the Exchange Act, our management, with the participation of our principal executive officer (“PEO”) and principal financial officer (“PFO”), evaluated the effectiveness of our disclosure controls and procedures (as defined in Rules 13a-15(e) and 15d-15(e) under the Exchange Act) as of the end of the period covered by this Annual Report. Based upon that evaluation, our PEO and PFO concluded that our disclosure controls and procedures </w:t>
      </w:r>
      <w:r>
        <w:rPr>
          <w:rFonts w:ascii="Times New Roman" w:cs="Times New Roman" w:eastAsia="Times New Roman" w:hAnsi="Times New Roman"/>
          <w:sz w:val="18"/>
          <w:szCs w:val="18"/>
          <w:color w:val="212529"/>
        </w:rPr>
        <w:t>were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effective as of the end of the period covered by this Annual Report, as a result of the material weaknesses in our internal control over financial reporting, which is discussed further below.</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62" w:lineRule="exact"/>
        <w:rPr>
          <w:sz w:val="20"/>
          <w:szCs w:val="20"/>
          <w:color w:val="auto"/>
        </w:rPr>
      </w:pPr>
    </w:p>
    <w:p>
      <w:pPr>
        <w:jc w:val="both"/>
        <w:ind w:left="1" w:right="80"/>
        <w:spacing w:after="0" w:line="25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our receipts and expenditures are being made only in accordance with authorizations of our management and Board; and</w:t>
      </w:r>
    </w:p>
    <w:p>
      <w:pPr>
        <w:spacing w:after="0" w:line="2" w:lineRule="exact"/>
        <w:rPr>
          <w:sz w:val="20"/>
          <w:szCs w:val="20"/>
          <w:color w:val="auto"/>
        </w:rPr>
      </w:pPr>
    </w:p>
    <w:p>
      <w:pPr>
        <w:ind w:left="1" w:right="80" w:hanging="1"/>
        <w:spacing w:after="0" w:line="245" w:lineRule="auto"/>
        <w:tabs>
          <w:tab w:leader="none" w:pos="3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26" w:lineRule="exact"/>
        <w:rPr>
          <w:sz w:val="20"/>
          <w:szCs w:val="20"/>
          <w:color w:val="auto"/>
        </w:rPr>
      </w:pPr>
    </w:p>
    <w:p>
      <w:pPr>
        <w:ind w:left="1" w:right="80"/>
        <w:spacing w:after="0" w:line="282" w:lineRule="auto"/>
        <w:rPr>
          <w:sz w:val="20"/>
          <w:szCs w:val="20"/>
          <w:color w:val="auto"/>
        </w:rPr>
      </w:pPr>
      <w:r>
        <w:rPr>
          <w:rFonts w:ascii="Times New Roman" w:cs="Times New Roman" w:eastAsia="Times New Roman" w:hAnsi="Times New Roman"/>
          <w:sz w:val="18"/>
          <w:szCs w:val="18"/>
          <w:color w:val="auto"/>
        </w:rPr>
        <w:t>Management has assessed the effectiveness of our internal control over financial reporting as of the end of the period covered by this Annual Report. The scope of management’s assessment regarding the Company’s internal control over financial</w:t>
      </w:r>
    </w:p>
    <w:p>
      <w:pPr>
        <w:sectPr>
          <w:pgSz w:w="11900" w:h="16838" w:orient="portrait"/>
          <w:cols w:equalWidth="0" w:num="1">
            <w:col w:w="9241"/>
          </w:cols>
          <w:pgMar w:left="1319" w:top="513" w:right="1339" w:bottom="1440" w:gutter="0" w:footer="0" w:header="0"/>
        </w:sect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73" w:name="page74"/>
    <w:bookmarkEnd w:id="73"/>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 w:right="60"/>
        <w:spacing w:after="0" w:line="266" w:lineRule="auto"/>
        <w:rPr>
          <w:sz w:val="20"/>
          <w:szCs w:val="20"/>
          <w:color w:val="auto"/>
        </w:rPr>
      </w:pPr>
      <w:r>
        <w:rPr>
          <w:rFonts w:ascii="Times New Roman" w:cs="Times New Roman" w:eastAsia="Times New Roman" w:hAnsi="Times New Roman"/>
          <w:sz w:val="18"/>
          <w:szCs w:val="18"/>
          <w:color w:val="auto"/>
        </w:rPr>
        <w:t>reporting includes the criteria set forth by the Internal Control Integrated Framework (2013) issued by the Committee of Sponsoring Organizations of the Treadway Commission. Based upon that assessment, management has concluded that our internal control over financial reporting was not effective as of December 31, 2024.</w:t>
      </w:r>
    </w:p>
    <w:p>
      <w:pPr>
        <w:spacing w:after="0" w:line="95" w:lineRule="exact"/>
        <w:rPr>
          <w:sz w:val="20"/>
          <w:szCs w:val="20"/>
          <w:color w:val="auto"/>
        </w:rPr>
      </w:pPr>
    </w:p>
    <w:p>
      <w:pPr>
        <w:jc w:val="both"/>
        <w:ind w:left="1" w:right="60"/>
        <w:spacing w:after="0" w:line="261" w:lineRule="auto"/>
        <w:rPr>
          <w:sz w:val="20"/>
          <w:szCs w:val="20"/>
          <w:color w:val="auto"/>
        </w:rPr>
      </w:pPr>
      <w:r>
        <w:rPr>
          <w:rFonts w:ascii="Times New Roman" w:cs="Times New Roman" w:eastAsia="Times New Roman" w:hAnsi="Times New Roman"/>
          <w:sz w:val="18"/>
          <w:szCs w:val="18"/>
          <w:color w:val="212529"/>
        </w:rPr>
        <w:t>In connection with the preparation of the audited financial statements included elsewhere in this Annual Report, management has identified the following material weaknesses as of December 31, 2024: (i) logical access over the accounting software and</w:t>
      </w:r>
    </w:p>
    <w:p>
      <w:pPr>
        <w:jc w:val="both"/>
        <w:ind w:left="1" w:right="60" w:hanging="1"/>
        <w:spacing w:after="0" w:line="253" w:lineRule="auto"/>
        <w:tabs>
          <w:tab w:leader="none" w:pos="271" w:val="left"/>
        </w:tabs>
        <w:numPr>
          <w:ilvl w:val="0"/>
          <w:numId w:val="5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lack of review over reconciliation of accrued clinical trial liabilities.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See “Remediation efforts to address the material weaknesses” below for steps we are taking to correct these material weaknesses.</w:t>
      </w:r>
    </w:p>
    <w:p>
      <w:pPr>
        <w:spacing w:after="0" w:line="108"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The management’s report was not subject to attestation by our registered public accounting firm pursuant to the rules of the SEC that permit us to provide only the management’s report in this Annual Report.</w:t>
      </w:r>
    </w:p>
    <w:p>
      <w:pPr>
        <w:spacing w:after="0" w:line="93"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i w:val="1"/>
          <w:iCs w:val="1"/>
          <w:color w:val="212529"/>
        </w:rPr>
        <w:t>Remediation efforts to address the material weaknesses</w:t>
      </w:r>
    </w:p>
    <w:p>
      <w:pPr>
        <w:spacing w:after="0" w:line="160" w:lineRule="exact"/>
        <w:rPr>
          <w:sz w:val="20"/>
          <w:szCs w:val="20"/>
          <w:color w:val="auto"/>
        </w:rPr>
      </w:pPr>
    </w:p>
    <w:p>
      <w:pPr>
        <w:jc w:val="both"/>
        <w:ind w:left="1" w:right="60"/>
        <w:spacing w:after="0" w:line="254" w:lineRule="auto"/>
        <w:rPr>
          <w:sz w:val="20"/>
          <w:szCs w:val="20"/>
          <w:color w:val="auto"/>
        </w:rPr>
      </w:pPr>
      <w:r>
        <w:rPr>
          <w:rFonts w:ascii="Times New Roman" w:cs="Times New Roman" w:eastAsia="Times New Roman" w:hAnsi="Times New Roman"/>
          <w:sz w:val="18"/>
          <w:szCs w:val="18"/>
          <w:color w:val="auto"/>
        </w:rPr>
        <w:t xml:space="preserve">We are in the process of remediating, but have not yet remediated, the material weaknesses, as described above, related to </w:t>
      </w:r>
      <w:r>
        <w:rPr>
          <w:rFonts w:ascii="Times New Roman" w:cs="Times New Roman" w:eastAsia="Times New Roman" w:hAnsi="Times New Roman"/>
          <w:sz w:val="18"/>
          <w:szCs w:val="18"/>
          <w:color w:val="212529"/>
        </w:rPr>
        <w:t xml:space="preserve">logical access over the accounting software and lack of review over reconciliation of accrued clinical trial liabilities. </w:t>
      </w:r>
      <w:r>
        <w:rPr>
          <w:rFonts w:ascii="Times New Roman" w:cs="Times New Roman" w:eastAsia="Times New Roman" w:hAnsi="Times New Roman"/>
          <w:sz w:val="18"/>
          <w:szCs w:val="18"/>
          <w:color w:val="000000"/>
        </w:rPr>
        <w:t>Under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oversight of the audit committee, management has developed a detailed plan and timetable for the implementation of appropriate remedial measures to address the material weaknesses. As of the date of this report, </w:t>
      </w:r>
      <w:r>
        <w:rPr>
          <w:rFonts w:ascii="Times New Roman" w:cs="Times New Roman" w:eastAsia="Times New Roman" w:hAnsi="Times New Roman"/>
          <w:sz w:val="18"/>
          <w:szCs w:val="18"/>
          <w:color w:val="212529"/>
        </w:rPr>
        <w:t>the following actions have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been taken:</w:t>
      </w:r>
    </w:p>
    <w:p>
      <w:pPr>
        <w:spacing w:after="0" w:line="120" w:lineRule="exact"/>
        <w:rPr>
          <w:sz w:val="20"/>
          <w:szCs w:val="20"/>
          <w:color w:val="auto"/>
        </w:rPr>
      </w:pPr>
    </w:p>
    <w:p>
      <w:pPr>
        <w:jc w:val="both"/>
        <w:ind w:left="681" w:hanging="330"/>
        <w:spacing w:after="0" w:line="258" w:lineRule="auto"/>
        <w:tabs>
          <w:tab w:leader="none" w:pos="6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implemented enhanced controls relating to </w:t>
      </w:r>
      <w:r>
        <w:rPr>
          <w:rFonts w:ascii="Times New Roman" w:cs="Times New Roman" w:eastAsia="Times New Roman" w:hAnsi="Times New Roman"/>
          <w:sz w:val="18"/>
          <w:szCs w:val="18"/>
          <w:color w:val="212529"/>
        </w:rPr>
        <w:t>logical access over the accounting software</w:t>
      </w:r>
      <w:r>
        <w:rPr>
          <w:rFonts w:ascii="Times New Roman" w:cs="Times New Roman" w:eastAsia="Times New Roman" w:hAnsi="Times New Roman"/>
          <w:sz w:val="18"/>
          <w:szCs w:val="18"/>
          <w:color w:val="auto"/>
        </w:rPr>
        <w:t>, which includes (i) validation of certain financial reports for accuracy and completeness and (ii) supervision and review over financial reporting</w:t>
      </w:r>
      <w:r>
        <w:rPr>
          <w:rFonts w:ascii="Times New Roman" w:cs="Times New Roman" w:eastAsia="Times New Roman" w:hAnsi="Times New Roman"/>
          <w:sz w:val="18"/>
          <w:szCs w:val="18"/>
          <w:color w:val="212529"/>
        </w:rPr>
        <w:t>; and</w:t>
      </w:r>
    </w:p>
    <w:p>
      <w:pPr>
        <w:spacing w:after="0" w:line="115" w:lineRule="exact"/>
        <w:rPr>
          <w:rFonts w:ascii="Times New Roman" w:cs="Times New Roman" w:eastAsia="Times New Roman" w:hAnsi="Times New Roman"/>
          <w:sz w:val="18"/>
          <w:szCs w:val="18"/>
          <w:color w:val="auto"/>
        </w:rPr>
      </w:pPr>
    </w:p>
    <w:p>
      <w:pPr>
        <w:ind w:left="681" w:right="100" w:hanging="330"/>
        <w:spacing w:after="0" w:line="282" w:lineRule="auto"/>
        <w:tabs>
          <w:tab w:leader="none" w:pos="6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implemented enhanced controls relating to </w:t>
      </w:r>
      <w:r>
        <w:rPr>
          <w:rFonts w:ascii="Times New Roman" w:cs="Times New Roman" w:eastAsia="Times New Roman" w:hAnsi="Times New Roman"/>
          <w:sz w:val="18"/>
          <w:szCs w:val="18"/>
          <w:color w:val="212529"/>
        </w:rPr>
        <w:t>lack of review over reconciliation of accrued clinical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liabilities</w:t>
      </w:r>
      <w:r>
        <w:rPr>
          <w:rFonts w:ascii="Times New Roman" w:cs="Times New Roman" w:eastAsia="Times New Roman" w:hAnsi="Times New Roman"/>
          <w:sz w:val="18"/>
          <w:szCs w:val="18"/>
          <w:color w:val="000000"/>
        </w:rPr>
        <w:t>, which include enhanced documentation of the reviews.</w:t>
      </w:r>
    </w:p>
    <w:p>
      <w:pPr>
        <w:spacing w:after="0" w:line="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Management is working to fully remediate these material weaknesses in 2025.</w:t>
      </w:r>
    </w:p>
    <w:p>
      <w:pPr>
        <w:spacing w:after="0" w:line="1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procedures and internal control over financial reporting</w:t>
      </w:r>
    </w:p>
    <w:p>
      <w:pPr>
        <w:spacing w:after="0" w:line="148"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8"/>
          <w:szCs w:val="18"/>
          <w:color w:val="auto"/>
        </w:rPr>
        <w:t>Our management, including our PEO and PFO,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1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 xml:space="preserve">Other than the remediation activities for </w:t>
      </w:r>
      <w:r>
        <w:rPr>
          <w:rFonts w:ascii="Times New Roman" w:cs="Times New Roman" w:eastAsia="Times New Roman" w:hAnsi="Times New Roman"/>
          <w:sz w:val="18"/>
          <w:szCs w:val="18"/>
          <w:color w:val="212529"/>
        </w:rPr>
        <w:t>pr</w:t>
      </w:r>
      <w:r>
        <w:rPr>
          <w:rFonts w:ascii="Times New Roman" w:cs="Times New Roman" w:eastAsia="Times New Roman" w:hAnsi="Times New Roman"/>
          <w:sz w:val="18"/>
          <w:szCs w:val="18"/>
          <w:color w:val="auto"/>
        </w:rPr>
        <w:t>eviously identified material weaknesses in internal control over financial reporting discussed below, there have been no other changes in our internal control over financial reporting during the quarter ended December 31, 2024 that have materially affected, or are reasonably likely to materially affect, our internal control over financial reporting.</w:t>
      </w:r>
    </w:p>
    <w:p>
      <w:pPr>
        <w:spacing w:after="0" w:line="117"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i w:val="1"/>
          <w:iCs w:val="1"/>
          <w:color w:val="212529"/>
        </w:rPr>
        <w:t>Remediation activities for previously identified material weaknesses</w:t>
      </w:r>
    </w:p>
    <w:p>
      <w:pPr>
        <w:spacing w:after="0" w:line="146"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212529"/>
        </w:rPr>
        <w:t>In connection with the preparation of the financial statements included in our Annual Report for the year ended December 31, 2023, management identified the following material weaknesses: (i) lack of segregation of duties over cash disbursements and financial reporting, (ii) logical access over computer applications, and (iii) lack of supervision and review over financial reporting. Specifically, there was a lack of segregation of duties involved in the execution of wire transfers, preparing journal entries and review over clinical trial accruals, and certain individuals in the accounting department have administrative access to certain financial reporting systems.</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Under the oversight of the audit committee, management has developed a detailed plan and timetable for the implementation of appropriate remedial measures to address the previously identified material weaknesses. As of the date of our Quarterly Report on Form 10-Q for the quarterly period ended September 30, 2024, management concluded that certain previously identified material weaknesses related to (i) lack of segregation of duties over cash disbursements and (ii) logical access over certain of the computer applications, including removing certain individuals in the accounting department with administrative access, have been remediated. The remaining previously identified weaknesses as of September 30, 2024 were: (i) lack of segregation of duties over financial reporting, (ii) logical access over the accounting software, and (iii) lack of supervision and review over financial reporting. We have taken the following actions to address the remaining previously identified material weaknesses:</w:t>
      </w:r>
    </w:p>
    <w:p>
      <w:pPr>
        <w:spacing w:after="0" w:line="124" w:lineRule="exact"/>
        <w:rPr>
          <w:sz w:val="20"/>
          <w:szCs w:val="20"/>
          <w:color w:val="auto"/>
        </w:rPr>
      </w:pPr>
    </w:p>
    <w:p>
      <w:pPr>
        <w:ind w:left="680" w:hanging="330"/>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added additional personnel to the accounting department to allow for the effective segregation of duties over financial reporting, including preparing journal entries and review over clinical trial accruals;</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effective controls relating to lack of supervision over financial reporting;</w:t>
      </w:r>
    </w:p>
    <w:p>
      <w:pPr>
        <w:spacing w:after="0" w:line="157" w:lineRule="exact"/>
        <w:rPr>
          <w:rFonts w:ascii="Times New Roman" w:cs="Times New Roman" w:eastAsia="Times New Roman" w:hAnsi="Times New Roman"/>
          <w:sz w:val="18"/>
          <w:szCs w:val="18"/>
          <w:color w:val="auto"/>
        </w:rPr>
      </w:pPr>
    </w:p>
    <w:p>
      <w:pPr>
        <w:jc w:val="both"/>
        <w:ind w:left="680" w:hanging="330"/>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implemented enhanced controls relating to </w:t>
      </w:r>
      <w:r>
        <w:rPr>
          <w:rFonts w:ascii="Times New Roman" w:cs="Times New Roman" w:eastAsia="Times New Roman" w:hAnsi="Times New Roman"/>
          <w:sz w:val="18"/>
          <w:szCs w:val="18"/>
          <w:color w:val="212529"/>
        </w:rPr>
        <w:t>logical access over the accounting software</w:t>
      </w:r>
      <w:r>
        <w:rPr>
          <w:rFonts w:ascii="Times New Roman" w:cs="Times New Roman" w:eastAsia="Times New Roman" w:hAnsi="Times New Roman"/>
          <w:sz w:val="18"/>
          <w:szCs w:val="18"/>
          <w:color w:val="auto"/>
        </w:rPr>
        <w:t>, which includes (i) validation of certain financial reports for accuracy and completeness and (ii) supervision and review over financial reporting</w:t>
      </w:r>
      <w:r>
        <w:rPr>
          <w:rFonts w:ascii="Times New Roman" w:cs="Times New Roman" w:eastAsia="Times New Roman" w:hAnsi="Times New Roman"/>
          <w:sz w:val="18"/>
          <w:szCs w:val="18"/>
          <w:color w:val="212529"/>
        </w:rPr>
        <w:t>; and</w:t>
      </w:r>
    </w:p>
    <w:p>
      <w:pPr>
        <w:spacing w:after="0" w:line="94" w:lineRule="exact"/>
        <w:rPr>
          <w:rFonts w:ascii="Times New Roman" w:cs="Times New Roman" w:eastAsia="Times New Roman" w:hAnsi="Times New Roman"/>
          <w:sz w:val="18"/>
          <w:szCs w:val="18"/>
          <w:color w:val="auto"/>
        </w:rPr>
      </w:pPr>
    </w:p>
    <w:p>
      <w:pPr>
        <w:ind w:left="680" w:hanging="330"/>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implemented effective controls related to lack of review over financial reporting, except for the </w:t>
      </w:r>
      <w:r>
        <w:rPr>
          <w:rFonts w:ascii="Times New Roman" w:cs="Times New Roman" w:eastAsia="Times New Roman" w:hAnsi="Times New Roman"/>
          <w:sz w:val="18"/>
          <w:szCs w:val="18"/>
          <w:color w:val="212529"/>
        </w:rPr>
        <w:t>reconciliation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accrued clinical trial liabilities</w:t>
      </w:r>
      <w:r>
        <w:rPr>
          <w:rFonts w:ascii="Times New Roman" w:cs="Times New Roman" w:eastAsia="Times New Roman" w:hAnsi="Times New Roman"/>
          <w:sz w:val="18"/>
          <w:szCs w:val="18"/>
          <w:color w:val="000000"/>
        </w:rPr>
        <w:t>.</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As of the date of this Annual Report, management has concluded that the actions described above were satisfactorily implemented and have been in place for a sufficient period of time to demonstrate that previously identified material weaknesses related to (i) lack of segregation of duties over financial reporting, (ii) lack of supervision over financial reporting, and (iii) lack of review over financial reporting, except for the reconciliation of accrued clinical trial liabilities, have been remediated. We are in the process of remediating, but have not yet remediated, the material weaknesses related to (i) logical access over the accounting software and (ii) lack of review over reconciliation of accrued clinical trial liabilities.</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172" w:lineRule="exact"/>
        <w:rPr>
          <w:sz w:val="20"/>
          <w:szCs w:val="20"/>
          <w:color w:val="auto"/>
        </w:rPr>
      </w:pPr>
    </w:p>
    <w:p>
      <w:pPr>
        <w:ind w:right="312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Prevents Inspections </w:t>
      </w:r>
      <w:r>
        <w:rPr>
          <w:rFonts w:ascii="Times New Roman" w:cs="Times New Roman" w:eastAsia="Times New Roman" w:hAnsi="Times New Roman"/>
          <w:sz w:val="18"/>
          <w:szCs w:val="18"/>
          <w:color w:val="auto"/>
        </w:rPr>
        <w:t>None.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right="4060"/>
        <w:spacing w:after="0" w:line="417"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Directors and executive officers</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divided into three classes. Members of each class serve staggered three-year term. The terms of directors in Class I, Class II and Class III expire at the annual meetings of stockholders to be held in 2026, 2027 and 2025,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to each person who is, as of the filing hereof, a director and/or executive officer of MetaVia.</w:t>
      </w:r>
    </w:p>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Position(s)</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Age</w:t>
            </w:r>
          </w:p>
        </w:tc>
      </w:tr>
      <w:tr>
        <w:trPr>
          <w:trHeight w:val="22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Glickman</w:t>
            </w: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III Director</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Jason L. Groves</w:t>
            </w: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Class II Director</w:t>
            </w: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Hyung Heon Kim</w:t>
            </w: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Class II Director</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I. Koven</w:t>
            </w: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 Director and Chair of the Board</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Salsbury</w:t>
            </w: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III Director</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75</w:t>
            </w:r>
          </w:p>
        </w:tc>
      </w:tr>
      <w:tr>
        <w:trPr>
          <w:trHeight w:val="23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 Gordon Strickland</w:t>
            </w: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Class I Director</w:t>
            </w: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P. Tursi</w:t>
            </w: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 Director</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-582295</wp:posOffset>
            </wp:positionV>
            <wp:extent cx="469773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97730" cy="13716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20"/>
        <w:spacing w:after="0"/>
        <w:tabs>
          <w:tab w:leader="none" w:pos="3020" w:val="left"/>
          <w:tab w:leader="none" w:pos="7540" w:val="left"/>
        </w:tabs>
        <w:rPr>
          <w:sz w:val="20"/>
          <w:szCs w:val="20"/>
          <w:color w:val="auto"/>
        </w:rPr>
      </w:pPr>
      <w:r>
        <w:rPr>
          <w:rFonts w:ascii="Times New Roman" w:cs="Times New Roman" w:eastAsia="Times New Roman" w:hAnsi="Times New Roman"/>
          <w:sz w:val="18"/>
          <w:szCs w:val="18"/>
          <w:color w:val="auto"/>
        </w:rPr>
        <w:t>Marshall H. Woodworth</w:t>
      </w:r>
      <w:r>
        <w:rPr>
          <w:sz w:val="20"/>
          <w:szCs w:val="20"/>
          <w:color w:val="auto"/>
        </w:rPr>
        <w:tab/>
      </w: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-119380</wp:posOffset>
            </wp:positionV>
            <wp:extent cx="469773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97730" cy="15430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 and background of directors and executive officers</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Mark A. Glickman </w:t>
      </w:r>
      <w:r>
        <w:rPr>
          <w:rFonts w:ascii="Times New Roman" w:cs="Times New Roman" w:eastAsia="Times New Roman" w:hAnsi="Times New Roman"/>
          <w:sz w:val="18"/>
          <w:szCs w:val="18"/>
          <w:color w:val="auto"/>
        </w:rPr>
        <w:t>has served as a member of the Board since May 2023. Mr. Glickman has also served as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Otsuka Precision Health since March 2024. Since December 2023, Mr. Glickman has served as President and Chief Executive Officer of BioFlorida Inc., an association representing life sciences and research organizations based in Florida. Previously, Mr. Glickman served as the Co-Chief Executive Officer for TherapeuticsMD, Inc. (“TXMD”) (Nasdaq: TXMD), a women’s healthcare product company, from September 2022 through the sale of the assets of TXMD, Inc. to Mayne Therapeutics (now Mayne Pharma Group Ltd) in January 2023. Mr. Glickman also served as Chief Business Officer, Commercial of TXMD, since June 2021 through the sale of assets of TXMD. Previously, Mr. Glickman served as the Chief Commercial Officer for Esperion Therapeutics, Inc. (Nasdaq: ESPR) from 2018 until December 2020, where he developed and led the commercial division in the launch of the company’s first cardiovascular prescription therapy. From June 2015 to March 2018, Mr. Glickman served as the Chief Commercial Officer for Aralez Pharmaceuticals, Inc. (“Aralez”), a public specialty pharmaceutical company, where he built out and led the first commercial effort for a previously clinical organization. Prior to June 2015, Mr. Glickman was Executive Vice President of Sales and Marketing for Auxilium Pharmaceuticals Inc., which was acquired by Endo International plc (“Endo”) in January 2015, where he led all commercial efforts for a portfolio of thirteen pharmaceutical products. Mr. Glickman's previous positions include Senior Vice President of Sales and Marketing and Vice President of Medical Devices for Otsuka America Pharmaceuticals Inc. and Marketing Head, Regional Sales Director and Vice President of Sales and Operations at Kos Pharmaceuticals (Abbott Laboratories, now AbbVie Inc. (NYSE: ABBV)), where he expanded his skills in the commercial products area. Mr. Glickman received a Bachelor of Arts degree in Political Science from S.U.N.Y Oswego, and a Master of Business Administration in Finance and International Management from the N.Y.U. Stern School of Business. The Board believes that Mr. Glickman’s 30 years of experience in the pharmaceutical and medical device industry qualifies him to serve as a director.</w:t>
      </w:r>
    </w:p>
    <w:p>
      <w:pPr>
        <w:spacing w:after="0" w:line="1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Jason L. Groves, Esq. </w:t>
      </w:r>
      <w:r>
        <w:rPr>
          <w:rFonts w:ascii="Times New Roman" w:cs="Times New Roman" w:eastAsia="Times New Roman" w:hAnsi="Times New Roman"/>
          <w:sz w:val="18"/>
          <w:szCs w:val="18"/>
          <w:color w:val="auto"/>
        </w:rPr>
        <w:t>has served as a member of the Board since December 2019. Since July 2022, Mr. Groves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the Chief Legal Officer and Corporate Secretary of Medifast, Inc. (“Medifast”) (NYSE: MED), a publicly-held leading manufacturer and distributor of clinically-proven, healthy-living products and programs. After joining Medifast in 2009, Mr. Groves has held several executive management positions, most recently serving as Executive Vice President and General Counsel of Medifast, Inc. from 2011 to July 2022. Mr. Groves was a Medifast director from 2009 to 2015, serving on the audit committee from 2009 to 2011. Prior to joining Medifast, Mr. Groves was Assistant Vice President of Government Affairs for Verizon Maryland, a telecommunications company, where he was responsible for the company’s legislative policy and government affairs. A U.S. Army veteran, Mr. Groves was a direct-commissioned Judge Advocate in the U.S. Army Judge Advocate General’s (JAG) Corps. As a JAG officer, he practiced law and had the distinction of prosecuting criminal cases in the District Court of Maryland as a Special Assistant U.S. Attorney. Over the course of three years, he received two Army Achievement Medals and one Army Commendation Medal. Mr. Groves completed nine years with the Anne Arundel Medical Center Board of Trustees, chairing their international captive insurance company board for eight years. Mr. Groves received his Bachelor of Science degree,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in Hospitality Management from Bethune-Cookman University, and obtained his Juris Doctor from North Carolina Central University School of Law. The Board believes that Mr. Grove’s experience serving as an independent director, audit committee member, and chief legal officer of a large public corporation while assisting with the initial international introduction of such corporation’s products qualifies him to serve as a director.</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Hyung Heon Kim </w:t>
      </w:r>
      <w:r>
        <w:rPr>
          <w:rFonts w:ascii="Times New Roman" w:cs="Times New Roman" w:eastAsia="Times New Roman" w:hAnsi="Times New Roman"/>
          <w:sz w:val="18"/>
          <w:szCs w:val="18"/>
          <w:color w:val="auto"/>
        </w:rPr>
        <w:t>has served as a member of the Board since July 2021 and was appointed as our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in August 2023. Previously, Mr. Kim was the General Counsel and a Vice President of Dong-A ST and Dong-A Socio Group, a Korean-based group of companies mainly engaged in the research, development, production and sale of pharmaceuticals, medical devices and APis. Mr. Kim served as General Counsel of Dong-A ST from January 2018 until August 2023 and as a Vice President of Dong-A ST from December 2020 until August 2023. Mr. Kim previously served as Executive Director of Dong-A ST from January 2018 through December 2020. Prior to his roles with Dong-A ST, Mr. Kim was Head of International Legal Affairs for Dong-A Socio Holdings Co., Ltd., a Korean-based holdings company for the Dong-A Socio group of companies from 2012 to 2018. Since April 2021, Mr. Kim has served as a director of AnaPath Services GmbH, a private Swiss-based provider of scientific research and development services, and STP America Research Corp, a private New Jersey-based research and development company. Prior to joining Dong-A Socio Group, Mr. Kim served as legal counsel to SK Energy Co., Ltd. and SK Innovation Co., Ltd. from 2008 to 2011. Mr. Kim received his Bachelor of Law degree from Soongshil University in Korea, and obtained his Juris Doctor from Washington University School of Law. The Board believes that Mr. Kim’s experiences gained as General Counsel and Head of International Legal Affairs to an established pharmaceutical group of companies qualify him to serve as a director. In addition, his day-to-day leadership of MetaVia gives him critical insights into our operations, strategy and competition, and he facilitates the Board’s ability to perform its oversight function.</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Andrew I. Koven </w:t>
      </w:r>
      <w:r>
        <w:rPr>
          <w:rFonts w:ascii="Times New Roman" w:cs="Times New Roman" w:eastAsia="Times New Roman" w:hAnsi="Times New Roman"/>
          <w:sz w:val="18"/>
          <w:szCs w:val="18"/>
          <w:color w:val="auto"/>
        </w:rPr>
        <w:t>has served as a member of the Board since July 2021, and Chair of the Board since January 2022.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Koven is the Lead Independent Director of Kala Bio, Inc. (“Kala”) (Nasdaq: KALA), a public biopharmaceutical company focused on the discovery, development and commercialization of innovative therapies for diseases of the eye. He has served as the Lead Independent Director of Kala since December 2018 and as a member of the Kala board of directors since September 2017. Mr. Koven serves as Chair of Kala’s compensation committee and is a member of the audit committee. Mr. Koven was, until his retirement in January 2019, the President and Chief Business Officer of Aralez and served in that role with the company’s predecessor, Pozen Inc. (“Pozen”), commencing in June 2015. Prior to joining Pozen, Mr. Koven served as Executive Vice President, Chief Administrative Officer and General Counsel of Auxilium Pharmaceuticals Inc., a public specialty biopharmaceutical company, from February 2012 until January 2015, when it was acquired by Endo. Mr. Koven served as President and Chief Administrative Officer and a member of the board of directors of Neurologix, Inc. (“Neurologix”), a company focused on the development of multiple innovative gene therapy development programs, from September 2011 to November 2011. Before Neurologix, Mr. Koven served as Executive Vice President and Chief Administrative and Legal Officer of Inspire Pharmaceuticals, Inc., a public specialty pharmaceutical company, from July 2010 until May 2011 when it was acquired by Merck &amp; Co., Inc. (NYSE: MRK). Previously, Mr. Koven served as Executive Vice President, General Counsel and Corporate Secretary of Sepracor Inc. (now Sunovion), a public specialty pharmaceutical company, from March 2007 until February 2010 when it was acquired by Dainippon Sumitomo Pharma Co., Ltd. Prior to joining Sepracor, Mr. Koven served as Executive Vice President, General Counsel and Corporate Secretary of Kos Pharmaceuticals, Inc., a public specialty pharmaceutical company, from August 2003 until its acquisition by Abbott Laboratories (now AbbVie) in December 2006. Mr. Koven began his career in the pharmaceutical industry first as an Assistant General Counsel and then as Associate General Counsel at Warner-Lambert Company from 1993 to 2000, followed by his role as Senior Vice President and General Counsel at Lavipharm Corporation from 2000 to 2003. From 1986 to 1992, he was a corporate associate at Cahill, Gordon &amp; Reindel in New York. From 1992 to 1993, he served as Counsel, Corporate and Investment Division, at The Equitable Life Assurance Society of the U.S. Mr. Koven holds a Master of Laws (LL.M.) Degree from Columbia University School of Law and a Bachelor of Laws (LL.B.) Degree and B.A. Degree in Political Science from Dalhousie University. The Board believes that Mr. Koven’s extensive experience in the pharmaceutical industry qualifies him to serve as a director.</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Michael Salsbury </w:t>
      </w:r>
      <w:r>
        <w:rPr>
          <w:rFonts w:ascii="Times New Roman" w:cs="Times New Roman" w:eastAsia="Times New Roman" w:hAnsi="Times New Roman"/>
          <w:sz w:val="18"/>
          <w:szCs w:val="18"/>
          <w:color w:val="auto"/>
        </w:rPr>
        <w:t>has served as a member of the Board since December 2019. From May 2021 to August 2024,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Salsbury served as Counsel to Current Health Inc., a provider of remote care management services and products. Current Health was acquired by Best Buy Co., Inc. (NYSE: BBY) in November 2021. From September 2017 to May 2022, Mr. Salsbury served as Counsel to Verisma Systems, Inc., a provider of cloud-based automated disclosure management systems; and from February 2013 to July 2017, he served as Secretary and General Counsel to Best Doctors, Inc., a provider of expert medical opinions. Best Doctors was acquired by Teladoc Health, Inc. (NYSE: TDOC) in July 2017. Mr. Salsbury has more than 25 years’ experience as a senior executive with public and private companies and at a private law practice. Mr. Salsbury received a J.D. and M.B.A. from the University of Virginia and a B.A. from Dartmouth College. The Board believes that Mr. Salsbury’s legal expertise and his experience serving as general counsel and secretary of a Fortune 100 corporation qualifies him to serve as a director.</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 Gordon Strickland </w:t>
      </w:r>
      <w:r>
        <w:rPr>
          <w:rFonts w:ascii="Times New Roman" w:cs="Times New Roman" w:eastAsia="Times New Roman" w:hAnsi="Times New Roman"/>
          <w:sz w:val="18"/>
          <w:szCs w:val="18"/>
          <w:color w:val="auto"/>
        </w:rPr>
        <w:t>has served as a member of the Board since January 2022. He served as Chair of Ampex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(“Ampex”), a technology company that was previously listed on Nasdaq, from March 2012 until June 2019. He also served as Ampex’s Chief Executive Officer from February 2007 to March 2012. Prior to Ampex, he served as President and Chief Executive Officer of Cardiff Holdings, a privately held producer of credit, debit, loyalty and other cards by Brookside Equity Partners from March 2012 to August 2013. Prior to Cardiff Holdings, Mr. Strickland was the Chair of Medical Resources, a public operator of diagnostic imaging centers. Mr. Strickland was also president and CEO of MCSi, Inc., a technical integrator of audio-visual products, from March 2003 until March 2004. Prior to MCSi, Mr. Strickland was the president and CEO of Capitol Wire, Inc, an internet-based news and information service provider from September 1999 until August 2002 and had leadership roles with Kerr Group, a manufacturer of glass containers and plastic packaging, from June 1986 until August 1997, including serving as the president and CEO, and as Senior Vice President, Finance and Chief Financial Officer. Mr. Strickland has over 35 years of experience as a senior executive and board member with public and private companies. Mr. Strickland received an M.B.A. from the Wharton School of the University of Pennsylvania and a B.A from Yale University. The Board believes that Mr. Strickland’s experience serving as Chair and Chief Executive Officer of a publicly-traded company, Ampex, qualifies him to serve as a director.</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James P. Tursi </w:t>
      </w:r>
      <w:r>
        <w:rPr>
          <w:rFonts w:ascii="Times New Roman" w:cs="Times New Roman" w:eastAsia="Times New Roman" w:hAnsi="Times New Roman"/>
          <w:sz w:val="18"/>
          <w:szCs w:val="18"/>
          <w:color w:val="auto"/>
        </w:rPr>
        <w:t>was appointed to the Board in November 2023. Dr. Tursi has served as Executive Vice President –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R&amp;D for Endo since January 2022. From April 2020 until January 2022, Dr. Tursi served as Chief Scientific Officer U.S. for Ferring Pharmaceuticals. From August 2018 until April 2020, Dr. Tursi served as Executive Vice President, R&amp;D for Antares Pharma Inc. (Nasdaq: ATRS). Prior to August 2018, Dr. Tursi served as Chief Medical Officer at Aralez, Chief Medical Officer and Vice President of Clinical R&amp;D for Auxilium Pharmaceuticals, Inc., and held positions of increasing responsibility at GlaxoSmithKline (NYSE: GSK) and Procter &amp; Gamble Pharmaceuticals. Dr. Tursi practiced medicine and surgery for over 10</w:t>
      </w:r>
    </w:p>
    <w:p>
      <w:pPr>
        <w:sectPr>
          <w:pgSz w:w="11900" w:h="16838" w:orient="portrait"/>
          <w:cols w:equalWidth="0" w:num="1">
            <w:col w:w="9240"/>
          </w:cols>
          <w:pgMar w:left="1320" w:top="513" w:right="1339" w:bottom="144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years and created a medical education company, I Will Pass®, which assisted physicians in the process of board certification. He holds a Bachelor of Science degree in Chemistry and Biology from Ursinus College; a Doctor of Medicine from Medical College of Pennsylvania and performed his residency in Gynecology and Obstetrics at the Johns Hopkins Hospital. The Board believes Dr. Tursi’s pharmaceutical industry and senior leadership experience qualifies him to serve as a director.</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Marshall Woodworth </w:t>
      </w:r>
      <w:r>
        <w:rPr>
          <w:rFonts w:ascii="Times New Roman" w:cs="Times New Roman" w:eastAsia="Times New Roman" w:hAnsi="Times New Roman"/>
          <w:sz w:val="18"/>
          <w:szCs w:val="18"/>
          <w:color w:val="auto"/>
        </w:rPr>
        <w:t>served as our Acting Chief Financial Officer from October 25, 2023 until his appointment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on March 1, 2024. Previously, Mr. Woodworth served as the Chief Financial Officer of Nevakar Inc. and its respective subsidiaries (Nevakar Injectables Inc. and Vyluma Inc.) from May 2017 through May 2023, where Mr. Woodworth was responsible for the accounting, financing, legal and human resources functions. From October 2015 through October 2016, Mr. Woodworth served as the Chief Financial Officer of Braeburn Pharmaceuticals Inc., where Mr. Woodworth led and coordinated the accounting, finance and treasury functions. From May 2014 to July 2015, Mr. Woodworth served as the Chief Financial Officer of Aerocrine AB, where Mr. Woodworth had responsibility for directing and coordinating the accounting and finance, FRS (Swedish SEC) reporting, investor relations, human resources and legal aspects of the company. From January 2010 through February 2014, Mr. Woodworth served as Chief Financial Officer of Furiex Pharmaceuticals, Inc. (Nasdaq: FURX), where Mr. Woodworth led a multi-disciplinary team and managed accounting, finance, SEC reporting, financial planning, analysis and reporting, and treasury functions. Mr. Woodworth received a Bachelor of Science degree from the University of Maryland and a Master of Business Administration degree in Finance from Indiana University.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or executive officers has a family relationship as defined in Item 401 of Regulation 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previous legal proceedings</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Mr. Glickman served as Chief Commercial Officer at Aralez from June 2016 to March 2018, Mr. Koven served as President and Chief Business Officer of Aralez’s predecessor, Pozen, and then at Aralez from June 2015 to January 2019, and Dr. Tursi served as Chief Medical Officer of Pozen and then Aralez from 2015 until August 2018, and has served as Executive Vice President – Global R&amp;D for Endo since January 2022. Each of Aralez and Endo and certain of their respective affiliates filed a voluntary petition for relief under Chapter 11 of the U.S. Bankruptcy Code on August 10, 2018 and August 16, 2022,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all of our employees, officers and directors, including our Chief Executive Officer, Chief Financial Officer and other executive officers, as applicable. We intend to disclose future amendments to certain provisions of our code of business conduct and ethics, or waivers of these provisions, on our website. The full text of our code of conduct is posted on the investor relations section of our website at http://metaviatx.com under “Investors &amp; News-Corporate Governance-Highlights”.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(“Insider Trading Policy”) governing the purchase, sale, and/or other dispositions of our securities by directors, officers, employees and other specified persons. Our Insider Trading Policy is designed to promote compliance with insider trading laws by informing, educating and creating reasonable processes to prevent the Company and its directors, officers, employees and other specified persons from insider trading violations and the appearance of any related improper conduct. The policy prohibits the trading of our securities on the basis on material nonpublic information, establishes regular blackout periods when directors, executive officers and other specified persons are prohibited from trading in our securities, and requires legal compliance for any insider trading plans intended to rely on the affirmative defense against insider trading liability in accordance with Rule 10b5-1 under the Exchange Act. Additionally, the policy specifically prohibits all directors, officers, employees and other specified persons from speculative trading and hedging transactions involving our common stock, including short sales, transactions in put or call options, and other speculative transactions.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has established an audit committee, which is comprised of Mr. Strickland, Mr. Koven and Mr. Glickman, with Mr. Strickland serving as chair of the committee. Each member of our audit committee meets the requirements for independence under the current Nasdaq and SEC rules and regulations and is financially literate. In addition, our Board has determined that Messrs. Glickman and Strickland each qualifies as an “audit committee financial expert” as defined in Item 407(d)(5)(ii) of Regulation S-K promulgated under the Securities Act based on his serving as chief executive officer of multiple companies as</w:t>
      </w:r>
    </w:p>
    <w:p>
      <w:pPr>
        <w:sectPr>
          <w:pgSz w:w="11900" w:h="16838" w:orient="portrait"/>
          <w:cols w:equalWidth="0" w:num="1">
            <w:col w:w="9240"/>
          </w:cols>
          <w:pgMar w:left="1320" w:top="513" w:right="13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described above. This designation does not impose on either of them any duties, obligations or liabilities that are greater than are generally imposed on members of our audit committee and our Board.</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2024 and 2023</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were earned by our named executive officers for 2024 and 2023.</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08"/>
        </w:trPr>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 Other</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4"/>
        </w:trPr>
        <w:tc>
          <w:tcPr>
            <w:tcW w:w="3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Salary</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Bonus</w:t>
            </w:r>
          </w:p>
        </w:tc>
        <w:tc>
          <w:tcPr>
            <w:tcW w:w="840" w:type="dxa"/>
            <w:vAlign w:val="bottom"/>
          </w:tcPr>
          <w:p>
            <w:pPr>
              <w:jc w:val="center"/>
              <w:spacing w:after="0" w:line="223" w:lineRule="exact"/>
              <w:rPr>
                <w:sz w:val="20"/>
                <w:szCs w:val="20"/>
                <w:color w:val="auto"/>
              </w:rPr>
            </w:pPr>
            <w:r>
              <w:rPr>
                <w:rFonts w:ascii="Times New Roman" w:cs="Times New Roman" w:eastAsia="Times New Roman" w:hAnsi="Times New Roman"/>
                <w:sz w:val="17"/>
                <w:szCs w:val="17"/>
                <w:color w:val="auto"/>
                <w:w w:val="96"/>
              </w:rPr>
              <w:t xml:space="preserve">Awards </w:t>
            </w:r>
            <w:r>
              <w:rPr>
                <w:rFonts w:ascii="Times New Roman" w:cs="Times New Roman" w:eastAsia="Times New Roman" w:hAnsi="Times New Roman"/>
                <w:sz w:val="25"/>
                <w:szCs w:val="25"/>
                <w:color w:val="auto"/>
                <w:w w:val="96"/>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340" w:type="dxa"/>
            <w:vAlign w:val="bottom"/>
          </w:tcPr>
          <w:p>
            <w:pPr>
              <w:spacing w:after="0"/>
              <w:rPr>
                <w:sz w:val="19"/>
                <w:szCs w:val="19"/>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Year</w:t>
            </w: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30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Hyung Heon Kim, President and</w:t>
            </w:r>
          </w:p>
        </w:tc>
        <w:tc>
          <w:tcPr>
            <w:tcW w:w="6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2024</w:t>
            </w:r>
          </w:p>
        </w:tc>
        <w:tc>
          <w:tcPr>
            <w:tcW w:w="8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460,125</w:t>
            </w:r>
          </w:p>
        </w:tc>
        <w:tc>
          <w:tcPr>
            <w:tcW w:w="7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220,163</w:t>
            </w:r>
          </w:p>
        </w:tc>
        <w:tc>
          <w:tcPr>
            <w:tcW w:w="8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36,116</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820" w:type="dxa"/>
            <w:vAlign w:val="bottom"/>
            <w:shd w:val="clear" w:color="auto" w:fill="CCEEFF"/>
          </w:tcPr>
          <w:p>
            <w:pPr>
              <w:ind w:left="180"/>
              <w:spacing w:after="0" w:line="183" w:lineRule="exact"/>
              <w:rPr>
                <w:sz w:val="20"/>
                <w:szCs w:val="20"/>
                <w:color w:val="auto"/>
              </w:rPr>
            </w:pPr>
            <w:r>
              <w:rPr>
                <w:rFonts w:ascii="Times New Roman" w:cs="Times New Roman" w:eastAsia="Times New Roman" w:hAnsi="Times New Roman"/>
                <w:sz w:val="18"/>
                <w:szCs w:val="18"/>
                <w:color w:val="auto"/>
              </w:rPr>
              <w:t>716,404</w:t>
            </w:r>
          </w:p>
        </w:tc>
      </w:tr>
      <w:tr>
        <w:trPr>
          <w:trHeight w:val="24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48,131</w:t>
            </w:r>
          </w:p>
        </w:tc>
        <w:tc>
          <w:tcPr>
            <w:tcW w:w="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664,055</w:t>
            </w:r>
          </w:p>
        </w:tc>
      </w:tr>
      <w:tr>
        <w:trPr>
          <w:trHeight w:val="190"/>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Marshall H. Woodworth, Chief</w:t>
            </w:r>
          </w:p>
        </w:tc>
        <w:tc>
          <w:tcPr>
            <w:tcW w:w="6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316,667</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120,663</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209,015</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128,354</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774,699</w:t>
            </w:r>
          </w:p>
        </w:tc>
      </w:tr>
      <w:tr>
        <w:trPr>
          <w:trHeight w:val="242"/>
        </w:trPr>
        <w:tc>
          <w:tcPr>
            <w:tcW w:w="3080" w:type="dxa"/>
            <w:vAlign w:val="bottom"/>
            <w:tcBorders>
              <w:bottom w:val="single" w:sz="8" w:color="auto"/>
            </w:tcBorders>
          </w:tcPr>
          <w:p>
            <w:pPr>
              <w:spacing w:after="0" w:line="242" w:lineRule="exact"/>
              <w:rPr>
                <w:sz w:val="20"/>
                <w:szCs w:val="20"/>
                <w:color w:val="auto"/>
              </w:rPr>
            </w:pPr>
            <w:r>
              <w:rPr>
                <w:rFonts w:ascii="Times New Roman" w:cs="Times New Roman" w:eastAsia="Times New Roman" w:hAnsi="Times New Roman"/>
                <w:sz w:val="18"/>
                <w:szCs w:val="18"/>
                <w:color w:val="auto"/>
              </w:rPr>
              <w:t xml:space="preserve">Financial Officer </w:t>
            </w:r>
            <w:r>
              <w:rPr>
                <w:rFonts w:ascii="Times New Roman" w:cs="Times New Roman" w:eastAsia="Times New Roman" w:hAnsi="Times New Roman"/>
                <w:sz w:val="26"/>
                <w:szCs w:val="26"/>
                <w:color w:val="auto"/>
                <w:vertAlign w:val="superscript"/>
              </w:rPr>
              <w:t>(3)</w:t>
            </w: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154,500</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154,500</w:t>
            </w:r>
          </w:p>
        </w:tc>
      </w:tr>
    </w:tbl>
    <w:p>
      <w:pPr>
        <w:spacing w:after="0" w:line="81" w:lineRule="exact"/>
        <w:rPr>
          <w:sz w:val="20"/>
          <w:szCs w:val="20"/>
          <w:color w:val="auto"/>
        </w:rPr>
      </w:pPr>
    </w:p>
    <w:p>
      <w:pPr>
        <w:jc w:val="both"/>
        <w:ind w:left="720" w:right="940" w:hanging="207"/>
        <w:spacing w:after="0" w:line="241" w:lineRule="auto"/>
        <w:tabs>
          <w:tab w:leader="none" w:pos="718" w:val="left"/>
        </w:tabs>
        <w:numPr>
          <w:ilvl w:val="1"/>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Amounts reflect the aggregate grant date fair value of restricted stock units (“RSUs”) in accordance with FASB ASC Topic 718. The grant date fair value was determined based on the closing sales price of our common stock as reported on Nasdaq on the date of grant multiplied by the number of shares of common stock subject to the RSU award. The amounts shown exclude the impact of estimated forfeitures related to service-based vesting conditions.</w:t>
      </w:r>
    </w:p>
    <w:p>
      <w:pPr>
        <w:spacing w:after="0" w:line="34" w:lineRule="exact"/>
        <w:rPr>
          <w:rFonts w:ascii="Times New Roman" w:cs="Times New Roman" w:eastAsia="Times New Roman" w:hAnsi="Times New Roman"/>
          <w:sz w:val="24"/>
          <w:szCs w:val="24"/>
          <w:color w:val="auto"/>
          <w:vertAlign w:val="superscript"/>
        </w:rPr>
      </w:pPr>
    </w:p>
    <w:p>
      <w:pPr>
        <w:ind w:left="720" w:hanging="237"/>
        <w:spacing w:after="0"/>
        <w:tabs>
          <w:tab w:leader="none" w:pos="720" w:val="left"/>
        </w:tabs>
        <w:numPr>
          <w:ilvl w:val="0"/>
          <w:numId w:val="6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Other compensation for 2024 was related to health and welfare benefits paid by MetaVia.</w:t>
      </w:r>
    </w:p>
    <w:p>
      <w:pPr>
        <w:spacing w:after="0" w:line="100" w:lineRule="exact"/>
        <w:rPr>
          <w:rFonts w:ascii="Times New Roman" w:cs="Times New Roman" w:eastAsia="Times New Roman" w:hAnsi="Times New Roman"/>
          <w:sz w:val="24"/>
          <w:szCs w:val="24"/>
          <w:color w:val="auto"/>
          <w:vertAlign w:val="superscript"/>
        </w:rPr>
      </w:pPr>
    </w:p>
    <w:p>
      <w:pPr>
        <w:jc w:val="both"/>
        <w:ind w:left="720" w:right="940" w:hanging="237"/>
        <w:spacing w:after="0" w:line="246" w:lineRule="auto"/>
        <w:tabs>
          <w:tab w:leader="none" w:pos="718" w:val="left"/>
        </w:tabs>
        <w:numPr>
          <w:ilvl w:val="0"/>
          <w:numId w:val="6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Mr. Woodworth was appointed as our Acting Chief Financial Officer in October 2023 and was appointed as Chief Financial Officer in March 2024. While serving as our Acting Chief Financial Officer, Mr. Woodworth was employed by WhiteCap Search Holdings, LLC (“WhiteCap”) and was contracted to us from October 2023 until March 2024. Other compensation for 2024 included $118,422 of consulting fees paid to WhiteCap for Mr. Woodworth’s services in 2024 and health and welfare benefits paid by MetaVia.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Kim in connection with his appointment as our President and Chief Executive Officer in August 2023. In October 2023, Mr. Woodworth was appointed as the Acting Chief Financial Officer of MetaVia, pursuant to an engagement agreement with WhiteCap. In March 2024, we entered into an employment agreement with Mr. Woodworth in connection with his appointment as Chief Financial Officer of MetaVia (the “Woodworth Employment Agreement”).</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Hyung Heon Kim</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entered into an employment agreement with Mr. Kim in connection with his appointment as our Chief Executive Officer and President in August 2023 (the “Kim Employment Agreement”). Under the terms of Kim Employment Agreement, we agreed to provide Mr. Kim: (i) an annual base salary of $450,000, reviewed annually; (ii) an annual discretionary bonus targeted at 50% of his base salary, as determined in the sole discretion of the Board or committee thereof; (iii) the right to participate in the benefit programs and arrangements that we make available to our employees, including paid vacation and sick leave, contributory and non-contributory welfare and benefit plans, disability plans, and medical, death benefit and life insurance plans for which Mr. Kim is eligible under the terms of those plans; and (iv) a RSU award for 625,064 shares of our common stock pursuant to the terms of a RSU grant notice and form award agreement (the “Kim RSU Award”) under our Amended and Restated 2022 Equity Incentive Plan (the “2022 Plan”). The Kim RSU Award vested as to 50% of the shares underlying the Kim RSU Award on the first anniversary of Mr. Kim’s employment with MetaVia and, the remaining shares subject to the Kim RSU Award, shall vest and become exercisable in equal monthly installments on the last day of each full month over the twelve (12) months following the first anniversary of Mr. Kim’s employment with us.</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event of Mr. Kim’s death during the employment period or a termination due to disability, Mr. Kim or his beneficiaries or legal representatives shall be entitled to receive (i) any annual base salary earned, but unpaid, for services rendered to MetaVia on or prior to the date on which the employment period ends, (ii) unreimbursed expenses and (iii) certain other benefits provided for in the employment agreement (the “Kim Unconditional Entitlements”). In the event of termination for cause by</w:t>
      </w:r>
    </w:p>
    <w:p>
      <w:pPr>
        <w:sectPr>
          <w:pgSz w:w="11900" w:h="16838" w:orient="portrait"/>
          <w:cols w:equalWidth="0" w:num="1">
            <w:col w:w="9240"/>
          </w:cols>
          <w:pgMar w:left="1320" w:top="513" w:right="1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MetaVia or the termination of employment as a result of resignation without good reason, Mr. Kim shall be provided the Kim Unconditional Entitlements.</w:t>
      </w:r>
    </w:p>
    <w:p>
      <w:pPr>
        <w:spacing w:after="0" w:line="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of a resignation by Mr. Kim for good reason or the exercise by MetaVia of its right to terminate Mr. Kim other than for cause, death or disability, Mr. Kim will receive the Kim Unconditional Entitlements and, subject to Mr. Kim signing and delivering to us and not revoking a general release of claims in favor of MetaVia and certain related parties, we shall pay a severance amount to Mr. Kim equal to fifty percent (50%) of Mr. Kim’s then-current base salary (the “Severance Amount”) and pay for Mr. Kim’s continued health insurance coverage under the Consolidated Omnibus Budget Reconciliation Act of 1985, as amended (known as COBRA) for a period of six (6) months following Mr. Kim’s termination (the “Kim Conditional Benefits”).</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resignation by Mr. Kim for good reason, the exercise by MetaVia of its right to terminate Mr. Kim other than for cause, death or disability, in each case, within twelve (12) months following or three (3) months prior to the effective date of a change in control, Mr. Kim will receive the following: (i) the Kim Unconditional Entitlements and the Kim Conditional Benefits less the Severance Amount; (ii) an amount equal to the product of 1.0 times the sum of Mr. Kim’s annual base salary and target annual cash bonus, less the Non-Compete Amount (as defined in the Kim Employment Agreement, if applicable); and (iii) accelerated vesting of all equity awards that were assumed, continued or substituted by the surviving or acquiring corporation in the change in control and remain subject to time-based vesting conditions, if any.</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Mr. Kim entered into an Employee Proprietary Information and Invention Assignment Agreement that applies during the term of Mr. Kim’s employment and thereafter.</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Marshall H. Woodworth</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Mr. Woodworth was appointed as the Acting Chief Financial Officer of MetaVia, pursuant to an engagement agreement with WhiteCap, dated February 3, 2023. Mr. Woodworth received his compensation and benefits from WhiteCap. In connection with the appointment of Mr. Woodworth as our Acting Chief Financial Officer, we paid WhiteCap approximately $375.00 per hour under the engagement agreement for services rendered to MetaVia by Mr. Woodworth.</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2024, we entered into the Woodworth Employment Agreement with Mr. Woodworth in connection with his appointment as Chief Financial Officer of MetaVia. The Woodworth Employment Agreement has an initial term of two (2) years beginning on March 1, 2024 (“Initial Term”) and automatically renews for an additional one-year period at the end of the Initial Term and each anniversary thereafter (“Renewal Term”) provided that at least 60 days prior to the expiration of the Initial Term or any Renewal Term the Board does not notify Mr. Woodworth of its intention not to renew.</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terms of Woodworth Employment Agreement, we agreed to provide Mr. Woodworth: (i) an annual base salary of $380,000, reviewed annually; (ii) an annual discretionary bonus targeted at 40% of his base salary, as determined in the sole discretion of the Board or committee thereof; (iii) the right to participate in the benefit programs and arrangements that we make available to our employees, including paid vacation and sick leave, contributory and non-contributory welfare and benefit plans, disability plans, and medical, death benefit and life insurance plans for which Mr. Woodworth is eligible under the terms of those plans; and (iv) a RSU award for 33,496 shares of our common stock pursuant to the terms of a RSU grant notice and form award agreement (the “Woodworth RSU Award”) under our 2022 Plan. The Woodworth RSU Award vests as follows: (i) 30% of the shares underlying the Woodworth RSU Award on the first anniversary of the grant; (ii) 30% of the shares underlying the Woodworth RSU Award on the second anniversary of the grant date; and (iii) the remaining shares subject to the Woodworth RSU Award, shall vest and become exercisable in equal monthly installments on the last day of each full month over the twelve (12) months following the first anniversary of grant date.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during the period Mr. Woodworth is employed by MetaVia, we consummate a change in control (as defined in the Woodworth Employment Agreement) and the Woodworth RSU Award is not assumed, continued or substituted by the surviving corporation or acquiring corporation (or the surviving or acquiring corporation’s parent company) in such change in control in the manner contemplated by the 2022 Plan, then 100% of the unvested portion of the Woodworth RSU Award shall fully vest immediately prior to the effectiveness of such change in control.</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Mr. Woodworth’s death during the employment period or a termination due to disability, Mr. Woodworth or his beneficiaries or legal representatives shall be entitled to receive any annual base salary earned, but unpaid, for services rendered to MetaVia on or prior to the date on which the employment period ends, unreimbursed expenses and certain other benefits provided for in the Woodworth Employment Agreement (the “Unconditional Entitlements”). In the event of termination for cause by MetaVia or the termination of employment as a result of resignation without good reason, Mr. Woodworth shall be provided the Unconditional Entitlements.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resignation by Mr. Woodworth for good reason or the exercise by MetaVia of its right to terminate Mr. Woodworth other than for cause, death or disability, Mr. Woodworth will receive the Unconditional Entitlements and, subject to Mr. Woodworth signing and delivering to MetaVia and not revoking a general release of claims in favor of the MetaVia and certain related parties, we shall pay a severance amount to Mr. Woodworth equal to twenty-five percent (25%) of Mr. Woodworth’s then-current annual base salary and pay for Mr. Woodworth’s continued health insurance coverage under the Consolidated Omnibus Budget Reconciliation Act of 1985, as amended (known as COBRA) for a period of three (3) months (the “Conditional Benefits”).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of a resignation by Mr. Woodworth for good reason or the exercise by MetaVia of its right to terminate Mr. Woodworth other than for cause, death or disability, in each case, within twelve (12) months following or three (3) months prior to the effective date of a change in Control, Mr. Woodworth will receive the following: (i) the Unconditional Entitlements and the Conditional Benefits less the Severance Amount; (ii) an amount equal to the product of 0.50 times the sum of Mr. Woodworth’s annual base salary and target annual cash bonus, less the Non-Compete Amount (as defined in the Woodworth Employment Agreement, if applicable); and (iii) accelerated vesting of all equity awards that were assumed, continued or substituted by the surviving or acquiring corporation in the Change in Control and remain subject to time-based vesting conditions, if 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stock option and RSU awards held by our named executive officers as of December 31, 2024:</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color w:val="auto"/>
              </w:rPr>
              <w:t>Option Awards</w:t>
            </w:r>
          </w:p>
        </w:tc>
        <w:tc>
          <w:tcPr>
            <w:tcW w:w="22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Stock Awards</w:t>
            </w:r>
          </w:p>
        </w:tc>
      </w:tr>
      <w:tr>
        <w:trPr>
          <w:trHeight w:val="407"/>
        </w:trPr>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16"/>
        </w:trPr>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gridSpan w:val="2"/>
          </w:tcPr>
          <w:p>
            <w:pPr>
              <w:jc w:val="center"/>
              <w:ind w:right="93"/>
              <w:spacing w:after="0"/>
              <w:rPr>
                <w:sz w:val="20"/>
                <w:szCs w:val="20"/>
                <w:color w:val="auto"/>
              </w:rPr>
            </w:pPr>
            <w:r>
              <w:rPr>
                <w:rFonts w:ascii="Times New Roman" w:cs="Times New Roman" w:eastAsia="Times New Roman" w:hAnsi="Times New Roman"/>
                <w:sz w:val="18"/>
                <w:szCs w:val="18"/>
                <w:color w:val="auto"/>
                <w:w w:val="99"/>
              </w:rPr>
              <w:t>Number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Value of</w:t>
            </w:r>
          </w:p>
        </w:tc>
      </w:tr>
      <w:tr>
        <w:trPr>
          <w:trHeight w:val="216"/>
        </w:trPr>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 of</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of</w:t>
            </w:r>
          </w:p>
        </w:tc>
      </w:tr>
      <w:tr>
        <w:trPr>
          <w:trHeight w:val="216"/>
        </w:trPr>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1220" w:type="dxa"/>
            <w:vAlign w:val="bottom"/>
          </w:tcPr>
          <w:p>
            <w:pPr>
              <w:spacing w:after="0"/>
              <w:rPr>
                <w:sz w:val="18"/>
                <w:szCs w:val="18"/>
                <w:color w:val="auto"/>
              </w:rPr>
            </w:pPr>
          </w:p>
        </w:tc>
        <w:tc>
          <w:tcPr>
            <w:tcW w:w="1180" w:type="dxa"/>
            <w:vAlign w:val="bottom"/>
            <w:gridSpan w:val="2"/>
          </w:tcPr>
          <w:p>
            <w:pPr>
              <w:jc w:val="center"/>
              <w:ind w:right="93"/>
              <w:spacing w:after="0"/>
              <w:rPr>
                <w:sz w:val="20"/>
                <w:szCs w:val="20"/>
                <w:color w:val="auto"/>
              </w:rPr>
            </w:pPr>
            <w:r>
              <w:rPr>
                <w:rFonts w:ascii="Times New Roman" w:cs="Times New Roman" w:eastAsia="Times New Roman" w:hAnsi="Times New Roman"/>
                <w:sz w:val="18"/>
                <w:szCs w:val="18"/>
                <w:color w:val="auto"/>
                <w:w w:val="99"/>
              </w:rPr>
              <w:t>Stock That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That</w:t>
            </w:r>
          </w:p>
        </w:tc>
      </w:tr>
      <w:tr>
        <w:trPr>
          <w:trHeight w:val="208"/>
        </w:trPr>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Option</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Have</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Have</w:t>
            </w:r>
          </w:p>
        </w:tc>
      </w:tr>
      <w:tr>
        <w:trPr>
          <w:trHeight w:val="224"/>
        </w:trPr>
        <w:tc>
          <w:tcPr>
            <w:tcW w:w="1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Expiration</w:t>
            </w:r>
          </w:p>
        </w:tc>
        <w:tc>
          <w:tcPr>
            <w:tcW w:w="1180" w:type="dxa"/>
            <w:vAlign w:val="bottom"/>
            <w:gridSpan w:val="2"/>
          </w:tcPr>
          <w:p>
            <w:pPr>
              <w:jc w:val="center"/>
              <w:ind w:right="73"/>
              <w:spacing w:after="0"/>
              <w:rPr>
                <w:sz w:val="20"/>
                <w:szCs w:val="20"/>
                <w:color w:val="auto"/>
              </w:rPr>
            </w:pPr>
            <w:r>
              <w:rPr>
                <w:rFonts w:ascii="Times New Roman" w:cs="Times New Roman" w:eastAsia="Times New Roman" w:hAnsi="Times New Roman"/>
                <w:sz w:val="18"/>
                <w:szCs w:val="18"/>
                <w:color w:val="auto"/>
                <w:w w:val="98"/>
              </w:rPr>
              <w:t>Not Vested</w:t>
            </w:r>
          </w:p>
        </w:tc>
        <w:tc>
          <w:tcPr>
            <w:tcW w:w="1100" w:type="dxa"/>
            <w:vAlign w:val="bottom"/>
          </w:tcPr>
          <w:p>
            <w:pPr>
              <w:jc w:val="center"/>
              <w:spacing w:after="0" w:line="223" w:lineRule="exact"/>
              <w:rPr>
                <w:sz w:val="20"/>
                <w:szCs w:val="20"/>
                <w:color w:val="auto"/>
              </w:rPr>
            </w:pPr>
            <w:r>
              <w:rPr>
                <w:rFonts w:ascii="Times New Roman" w:cs="Times New Roman" w:eastAsia="Times New Roman" w:hAnsi="Times New Roman"/>
                <w:sz w:val="17"/>
                <w:szCs w:val="17"/>
                <w:color w:val="auto"/>
                <w:w w:val="99"/>
              </w:rPr>
              <w:t xml:space="preserve">Not Vested </w:t>
            </w:r>
            <w:r>
              <w:rPr>
                <w:rFonts w:ascii="Times New Roman" w:cs="Times New Roman" w:eastAsia="Times New Roman" w:hAnsi="Times New Roman"/>
                <w:sz w:val="25"/>
                <w:szCs w:val="25"/>
                <w:color w:val="auto"/>
                <w:w w:val="99"/>
                <w:vertAlign w:val="superscript"/>
              </w:rPr>
              <w:t>(1)</w:t>
            </w:r>
          </w:p>
        </w:tc>
      </w:tr>
      <w:tr>
        <w:trPr>
          <w:trHeight w:val="234"/>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Grant 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Date</w:t>
            </w:r>
          </w:p>
        </w:tc>
        <w:tc>
          <w:tcPr>
            <w:tcW w:w="9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Hyung Heon Kim</w:t>
            </w: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9, 2022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w:t>
            </w:r>
          </w:p>
        </w:tc>
        <w:tc>
          <w:tcPr>
            <w:tcW w:w="12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June 9, 2032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Hyung Heon Kim</w:t>
            </w:r>
          </w:p>
        </w:tc>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11, 2023</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59,475</w:t>
            </w:r>
          </w:p>
        </w:tc>
      </w:tr>
      <w:tr>
        <w:trPr>
          <w:trHeight w:val="216"/>
        </w:trPr>
        <w:tc>
          <w:tcPr>
            <w:tcW w:w="1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Marshall Woodworth</w:t>
            </w:r>
          </w:p>
        </w:tc>
        <w:tc>
          <w:tcPr>
            <w:tcW w:w="1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March 1, 2024</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33,496</w:t>
            </w:r>
          </w:p>
        </w:tc>
        <w:tc>
          <w:tcPr>
            <w:tcW w:w="2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67,997</w:t>
            </w:r>
          </w:p>
        </w:tc>
      </w:tr>
    </w:tbl>
    <w:p>
      <w:pPr>
        <w:spacing w:after="0" w:line="67" w:lineRule="exact"/>
        <w:rPr>
          <w:sz w:val="20"/>
          <w:szCs w:val="20"/>
          <w:color w:val="auto"/>
        </w:rPr>
      </w:pPr>
    </w:p>
    <w:p>
      <w:pPr>
        <w:ind w:left="620" w:right="680" w:hanging="203"/>
        <w:spacing w:after="0" w:line="215" w:lineRule="auto"/>
        <w:tabs>
          <w:tab w:leader="none" w:pos="62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This column shows the market value of the unvested RSUs held by our named executive officers based on $2.03 per share, the closing price of our Common Stock on December 31, 2024, the last trading day of 2024.</w:t>
      </w:r>
    </w:p>
    <w:p>
      <w:pPr>
        <w:spacing w:after="0" w:line="73" w:lineRule="exact"/>
        <w:rPr>
          <w:rFonts w:ascii="Times New Roman" w:cs="Times New Roman" w:eastAsia="Times New Roman" w:hAnsi="Times New Roman"/>
          <w:sz w:val="24"/>
          <w:szCs w:val="24"/>
          <w:color w:val="auto"/>
          <w:vertAlign w:val="superscript"/>
        </w:rPr>
      </w:pPr>
    </w:p>
    <w:p>
      <w:pPr>
        <w:ind w:left="620" w:right="680" w:hanging="203"/>
        <w:spacing w:after="0" w:line="208" w:lineRule="auto"/>
        <w:tabs>
          <w:tab w:leader="none" w:pos="62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RSUs will vest in equal monthly installments on the last day of each full month following August 11, 2024, subject to continuing service.</w:t>
      </w:r>
    </w:p>
    <w:p>
      <w:pPr>
        <w:spacing w:after="0" w:line="87" w:lineRule="exact"/>
        <w:rPr>
          <w:rFonts w:ascii="Times New Roman" w:cs="Times New Roman" w:eastAsia="Times New Roman" w:hAnsi="Times New Roman"/>
          <w:sz w:val="24"/>
          <w:szCs w:val="24"/>
          <w:color w:val="auto"/>
          <w:vertAlign w:val="superscript"/>
        </w:rPr>
      </w:pPr>
    </w:p>
    <w:p>
      <w:pPr>
        <w:ind w:left="640" w:right="680" w:hanging="209"/>
        <w:spacing w:after="0" w:line="215" w:lineRule="auto"/>
        <w:tabs>
          <w:tab w:leader="none" w:pos="640" w:val="left"/>
        </w:tabs>
        <w:numPr>
          <w:ilvl w:val="1"/>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30% of the RSUs will vest on March 1, 2025, 30% will vest on March 1, 2026 and 40% vest in twelve equal installments on the last day of each full month following March 1, 2026, subject to continuing service.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Timing of Option Grants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2024, we did not grant stock options to our executive officers, directors or employees. Our compensation committee has not established policies and practices regarding the timing of stock option grants in relation to the release of material nonpublic information and does not take material non-public information into account when determining the timing and terms of stock option awards to executive officers. We do not time the disclosure of material non-public information for the purpose of affecting the value of executive 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non-employee directors receive a mix of cash and share-based compensation intended to encourage non-employee directors to continue to serve on the Board, further align the interests of the directors and stockholders, and attract new non-employee directors with outstanding qualifications. Directors who are employees or officers of MetaVia do not receive any additional compensation for Board service.</w:t>
      </w:r>
    </w:p>
    <w:p>
      <w:pPr>
        <w:sectPr>
          <w:pgSz w:w="11900" w:h="16838" w:orient="portrait"/>
          <w:cols w:equalWidth="0" w:num="1">
            <w:col w:w="9240"/>
          </w:cols>
          <w:pgMar w:left="1320" w:top="513" w:right="1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compensation information for 2024 for each non-employee member of the Board.</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4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Fees Earned</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2820" w:type="dxa"/>
            <w:vAlign w:val="bottom"/>
          </w:tcPr>
          <w:p>
            <w:pPr>
              <w:spacing w:after="0"/>
              <w:rPr>
                <w:sz w:val="18"/>
                <w:szCs w:val="18"/>
                <w:color w:val="auto"/>
              </w:rPr>
            </w:pPr>
          </w:p>
        </w:tc>
        <w:tc>
          <w:tcPr>
            <w:tcW w:w="24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or Paid</w:t>
            </w:r>
          </w:p>
        </w:tc>
        <w:tc>
          <w:tcPr>
            <w:tcW w:w="14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tcPr>
          <w:p>
            <w:pPr>
              <w:spacing w:after="0"/>
              <w:rPr>
                <w:sz w:val="18"/>
                <w:szCs w:val="18"/>
                <w:color w:val="auto"/>
              </w:rPr>
            </w:pPr>
          </w:p>
        </w:tc>
      </w:tr>
      <w:tr>
        <w:trPr>
          <w:trHeight w:val="224"/>
        </w:trPr>
        <w:tc>
          <w:tcPr>
            <w:tcW w:w="2820" w:type="dxa"/>
            <w:vAlign w:val="bottom"/>
          </w:tcPr>
          <w:p>
            <w:pPr>
              <w:spacing w:after="0"/>
              <w:rPr>
                <w:sz w:val="19"/>
                <w:szCs w:val="19"/>
                <w:color w:val="auto"/>
              </w:rPr>
            </w:pPr>
          </w:p>
        </w:tc>
        <w:tc>
          <w:tcPr>
            <w:tcW w:w="2480" w:type="dxa"/>
            <w:vAlign w:val="bottom"/>
          </w:tcPr>
          <w:p>
            <w:pPr>
              <w:jc w:val="center"/>
              <w:ind w:left="830"/>
              <w:spacing w:after="0" w:line="223" w:lineRule="exact"/>
              <w:rPr>
                <w:sz w:val="20"/>
                <w:szCs w:val="20"/>
                <w:color w:val="auto"/>
              </w:rPr>
            </w:pPr>
            <w:r>
              <w:rPr>
                <w:rFonts w:ascii="Times New Roman" w:cs="Times New Roman" w:eastAsia="Times New Roman" w:hAnsi="Times New Roman"/>
                <w:sz w:val="17"/>
                <w:szCs w:val="17"/>
                <w:color w:val="auto"/>
              </w:rPr>
              <w:t xml:space="preserve">in Cash </w:t>
            </w:r>
            <w:r>
              <w:rPr>
                <w:rFonts w:ascii="Times New Roman" w:cs="Times New Roman" w:eastAsia="Times New Roman" w:hAnsi="Times New Roman"/>
                <w:sz w:val="25"/>
                <w:szCs w:val="25"/>
                <w:color w:val="auto"/>
                <w:vertAlign w:val="superscript"/>
              </w:rPr>
              <w:t>(1)</w:t>
            </w:r>
          </w:p>
        </w:tc>
        <w:tc>
          <w:tcPr>
            <w:tcW w:w="1420" w:type="dxa"/>
            <w:vAlign w:val="bottom"/>
          </w:tcPr>
          <w:p>
            <w:pPr>
              <w:jc w:val="center"/>
              <w:ind w:right="230"/>
              <w:spacing w:after="0" w:line="223" w:lineRule="exact"/>
              <w:rPr>
                <w:sz w:val="20"/>
                <w:szCs w:val="20"/>
                <w:color w:val="auto"/>
              </w:rPr>
            </w:pPr>
            <w:r>
              <w:rPr>
                <w:rFonts w:ascii="Times New Roman" w:cs="Times New Roman" w:eastAsia="Times New Roman" w:hAnsi="Times New Roman"/>
                <w:sz w:val="17"/>
                <w:szCs w:val="17"/>
                <w:color w:val="auto"/>
                <w:w w:val="96"/>
              </w:rPr>
              <w:t xml:space="preserve">Awards </w:t>
            </w:r>
            <w:r>
              <w:rPr>
                <w:rFonts w:ascii="Times New Roman" w:cs="Times New Roman" w:eastAsia="Times New Roman" w:hAnsi="Times New Roman"/>
                <w:sz w:val="25"/>
                <w:szCs w:val="25"/>
                <w:color w:val="auto"/>
                <w:w w:val="96"/>
                <w:vertAlign w:val="superscript"/>
              </w:rPr>
              <w:t>(2)</w:t>
            </w: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4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5"/>
              </w:rPr>
              <w:t>($)</w:t>
            </w:r>
          </w:p>
        </w:tc>
        <w:tc>
          <w:tcPr>
            <w:tcW w:w="14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Glickman</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55,000</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19,850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Jason Groves</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45,000</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19,850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I. Koven</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94,000</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19,850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Michael Salsbury</w:t>
            </w:r>
          </w:p>
        </w:tc>
        <w:tc>
          <w:tcPr>
            <w:tcW w:w="2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52,000</w:t>
            </w: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19,850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Gordon Strickland</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64,000</w:t>
            </w:r>
          </w:p>
        </w:tc>
        <w:tc>
          <w:tcPr>
            <w:tcW w:w="1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19,850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83,850</w:t>
            </w:r>
          </w:p>
        </w:tc>
      </w:tr>
      <w:tr>
        <w:trPr>
          <w:trHeight w:val="2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P. Tursi</w:t>
            </w:r>
          </w:p>
        </w:tc>
        <w:tc>
          <w:tcPr>
            <w:tcW w:w="2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45,000</w:t>
            </w: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19,850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64,850</w:t>
            </w:r>
          </w:p>
        </w:tc>
      </w:tr>
    </w:tbl>
    <w:p>
      <w:pPr>
        <w:spacing w:after="0" w:line="81" w:lineRule="exact"/>
        <w:rPr>
          <w:sz w:val="20"/>
          <w:szCs w:val="20"/>
          <w:color w:val="auto"/>
        </w:rPr>
      </w:pPr>
    </w:p>
    <w:p>
      <w:pPr>
        <w:ind w:left="880" w:right="1300" w:hanging="234"/>
        <w:spacing w:after="0" w:line="215" w:lineRule="auto"/>
        <w:tabs>
          <w:tab w:leader="none" w:pos="88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amounts in this column represent the value of annual cash earned from retainers by directors serving on the Board and committees of the Board in 2024.</w:t>
      </w:r>
    </w:p>
    <w:p>
      <w:pPr>
        <w:spacing w:after="0" w:line="100" w:lineRule="exact"/>
        <w:rPr>
          <w:rFonts w:ascii="Times New Roman" w:cs="Times New Roman" w:eastAsia="Times New Roman" w:hAnsi="Times New Roman"/>
          <w:sz w:val="24"/>
          <w:szCs w:val="24"/>
          <w:color w:val="auto"/>
          <w:vertAlign w:val="superscript"/>
        </w:rPr>
      </w:pPr>
    </w:p>
    <w:p>
      <w:pPr>
        <w:jc w:val="both"/>
        <w:ind w:left="880" w:right="1300" w:hanging="234"/>
        <w:spacing w:after="0" w:line="241" w:lineRule="auto"/>
        <w:tabs>
          <w:tab w:leader="none" w:pos="88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Amounts reported reflect the aggregate grant date fair value of 5,051 RSUs granted to each of our directors for service in 2024, whose grant date fair value was determined based on the closing sales price of our common stock as reported on Nasdaq on the date of grant. The amounts shown exclude the impact of estimated forfeitures related to service-based vesting conditions.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2024, the compensation committee recommended, and the Board approved our Amended and Restated Non-Employee Director Compensation Policy (as further amended in November 2024, the “Amended Non-Employee Director Compensation Policy”). Under the Amended Non-Employee Director Compensation Policy, all of our non-employee directors receive an annual cash retainer of $40,000 for Board service except for the Non-Executive Chair of the Board who receives an annual cash retainer of $75,000. Additionally, directors receive an additional cash retainer for serving as a committee chair or member as follows:</w:t>
      </w:r>
    </w:p>
    <w:p>
      <w:pPr>
        <w:spacing w:after="0" w:line="135"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Nominating</w:t>
            </w:r>
          </w:p>
        </w:tc>
      </w:tr>
      <w:tr>
        <w:trPr>
          <w:trHeight w:val="216"/>
        </w:trPr>
        <w:tc>
          <w:tcPr>
            <w:tcW w:w="3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Corporate</w:t>
            </w:r>
          </w:p>
        </w:tc>
      </w:tr>
      <w:tr>
        <w:trPr>
          <w:trHeight w:val="216"/>
        </w:trPr>
        <w:tc>
          <w:tcPr>
            <w:tcW w:w="3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Audit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Governance</w:t>
            </w:r>
          </w:p>
        </w:tc>
      </w:tr>
      <w:tr>
        <w:trPr>
          <w:trHeight w:val="216"/>
        </w:trPr>
        <w:tc>
          <w:tcPr>
            <w:tcW w:w="3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Committee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Committee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Committee</w:t>
            </w:r>
          </w:p>
        </w:tc>
      </w:tr>
      <w:tr>
        <w:trPr>
          <w:trHeight w:val="234"/>
        </w:trPr>
        <w:tc>
          <w:tcPr>
            <w:tcW w:w="3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chair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Committee member (other than the chair)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Initial grant: </w:t>
      </w:r>
      <w:r>
        <w:rPr>
          <w:rFonts w:ascii="Times New Roman" w:cs="Times New Roman" w:eastAsia="Times New Roman" w:hAnsi="Times New Roman"/>
          <w:sz w:val="18"/>
          <w:szCs w:val="18"/>
          <w:color w:val="auto"/>
        </w:rPr>
        <w:t>For each non-employee director who is first elected or appointed to the Board on or following the effective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Non-Employee Director Compensation Policy, at the close of business on the date of such non-employee director’s initial election or appointment to the Board, such non-employee director will be automatically, and without further action by the Board or the compensation committee, granted an RSU award covering a number of RSUs equal to (a) $40,000 divided by (b) the average fair market value of a share of our common stock for the 30 consecutive market trading days ending on and including the last market trading day prior to the grant date of such RSU award, rounded down to the nearest whole unit (each, an “Initial Grant”). 50% of each Initial Grant will vest as of the date of grant and the remainder will vest in two equal installments on each subsequent anniversary of the date of grant, subject to the non-employee director’s continuous service on each vesting date</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grant and prorated annual grant: </w:t>
      </w:r>
      <w:r>
        <w:rPr>
          <w:rFonts w:ascii="Times New Roman" w:cs="Times New Roman" w:eastAsia="Times New Roman" w:hAnsi="Times New Roman"/>
          <w:sz w:val="18"/>
          <w:szCs w:val="18"/>
          <w:color w:val="auto"/>
        </w:rPr>
        <w:t>At the close of business after the first annual meeting of the Company’s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effective date of the Amended Non-Employee Director Compensation Policy and on the date of each subsequent annual meeting of the Company’s stockholders held following the initial annual meeting of stockholders (each, an “Annual Meeting”), each person who is then a non-employee director will be automatically, and without further action by the Board or the compensation committee, granted an RSU award covering a number of RSUs equal to (i) $20,000 divided by (ii) the average fair market value of a share of common stock for the 30 consecutive market trading days ending on and including the last market trading day prior to the grant date of such RSU award, rounded down to the nearest whole unit (each, an “Annual Grant”).</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for each non-employee director who is first elected or appointed to the Board after the first Annual Meeting of the Company’s stockholders following the effective date on a date other than the date of an Annual Meeting of the Company’s stockholders, at the close of business on the thirtieth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day following such non-employee director’s initial election or appointment to the Board, such non-employee director will be automatically, and without further action by the Board or the</w:t>
      </w:r>
    </w:p>
    <w:p>
      <w:pPr>
        <w:sectPr>
          <w:pgSz w:w="11900" w:h="16838" w:orient="portrait"/>
          <w:cols w:equalWidth="0" w:num="1">
            <w:col w:w="9240"/>
          </w:cols>
          <w:pgMar w:left="1320" w:top="513" w:right="133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82" w:name="page83"/>
    <w:bookmarkEnd w:id="82"/>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compensation committee, granted an RSU award covering a number of RSUs equal to (i) $20,000 divided by (ii) the average fair market value of a share of common stock for the 30 consecutive market trading days ending on and including the last market trading day prior to the grant date of such RSU award, multiplied by a fraction, the numerator of which equals 365 minus the total number of days, as of the grant date of such RSU award, that have occurred since the last Annual Meeting and the denominator of which equals 365, rounded down to the nearest whole unit (each, a “Prorated Annual Grant”).</w:t>
      </w:r>
    </w:p>
    <w:p>
      <w:pPr>
        <w:spacing w:after="0" w:line="120"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Each Annual Grant and Prorated Annual Grant will vest in full on the earlier of the (i) one-year anniversary of the grant date of the Annual Grant or Prorated Annual Grant, as applicable, and (ii) date immediately prior to the date of the Annual Meeting following the grant date of such Annual Grant or Prorated Annual Grant, as applicable, subject to the non-employee director’s continuous service on the vesting date.</w:t>
      </w:r>
    </w:p>
    <w:p>
      <w:pPr>
        <w:spacing w:after="0" w:line="104" w:lineRule="exact"/>
        <w:rPr>
          <w:sz w:val="20"/>
          <w:szCs w:val="20"/>
          <w:color w:val="auto"/>
        </w:rPr>
      </w:pPr>
    </w:p>
    <w:p>
      <w:pPr>
        <w:jc w:val="both"/>
        <w:ind w:left="1"/>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Retainer grant: </w:t>
      </w:r>
      <w:r>
        <w:rPr>
          <w:rFonts w:ascii="Times New Roman" w:cs="Times New Roman" w:eastAsia="Times New Roman" w:hAnsi="Times New Roman"/>
          <w:sz w:val="18"/>
          <w:szCs w:val="18"/>
          <w:color w:val="auto"/>
        </w:rPr>
        <w:t>Each non-employee director may elect to forego receiving payment of all (but not less than all) of the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retainers described above that he is otherwise eligible to receive for the period during the Company’s fiscal year that the election applies commencing on the first day of such fiscal year (or if the non-employee director makes the election in the Company’s fiscal year that the election applies, on the first day of the Company’s fiscal quarter next following the Company’s fiscal quarter in which the election is made) and ending on the last day of such fiscal year and instead receive an RSU award (the “Retainer Grant”), provided such election is timely made and complies with certain other requirements specified in the Amended Non-Employee Director Compensation Policy. If a non-employee director timely makes the election described above in accordance with the Amended Non-Employee Director Compensation Policy, on the first day of the Company’s fiscal year that the election applies (or if the non-employee director makes the election in the Company’s fiscal year that the election applies, on the first day of the Company’s fiscal quarter following the Company’s fiscal quarter in which the election is made), the non-employee director will be automatically granted a Retainer Grant covering a number of RSUs equal to the (i) aggregate amount of the annual cash retainers that the non-employee director is eligible to receive under the Amended Non-Employee Director Compensation Policy for the applicable period to which the election applies divided by (ii) average fair market value of a share of the Company’s common stock for the 30 consecutive market trading days ending on and including the last market trading day prior to the grant date of such Retainer Grant, rounded down to the nearest whole unit. Each Retainer Grant will vest in equal quarterly installments over the period commencing on the grant date of the Retainer Grant and ending on the last day of the fiscal year in which the Retainer Grant is granted, subject to the non-employee director’s continued service on each vesting date.</w:t>
      </w:r>
    </w:p>
    <w:p>
      <w:pPr>
        <w:spacing w:after="0" w:line="131" w:lineRule="exact"/>
        <w:rPr>
          <w:sz w:val="20"/>
          <w:szCs w:val="20"/>
          <w:color w:val="auto"/>
        </w:rPr>
      </w:pPr>
    </w:p>
    <w:p>
      <w:pPr>
        <w:jc w:val="both"/>
        <w:ind w:left="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Deferral of settlement of RSU awards: </w:t>
      </w:r>
      <w:r>
        <w:rPr>
          <w:rFonts w:ascii="Times New Roman" w:cs="Times New Roman" w:eastAsia="Times New Roman" w:hAnsi="Times New Roman"/>
          <w:sz w:val="18"/>
          <w:szCs w:val="18"/>
          <w:color w:val="auto"/>
        </w:rPr>
        <w:t>Each non-employee director may elect to defer the delivery of shares in settlement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RSU award granted under the Amended Non-Employee Director Compensation Policy that would otherwise be delivered to such non-employee director on or following the date such award vests pursuant to the terms of a deferral election such non-employee director makes in accordance with the Amended Non-Employee Director Compensation Policy.</w:t>
      </w:r>
    </w:p>
    <w:p>
      <w:pPr>
        <w:spacing w:after="0" w:line="112"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 of Control; Death; Disability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RSU award held by a non-employee director that is granted under the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Non-Employee Director Compensation Policy, including the awards described above, will fully vest upon such non-employee director’s death or disability (as defined in the Company’s 2022 Plan), or immediately prior to the consummation of a change in control (as defined in the Company’s 2022 Plan), in each case to extent such award is outstanding immediately prior to the occurrence of such event.</w:t>
      </w:r>
    </w:p>
    <w:p>
      <w:pPr>
        <w:spacing w:after="0" w:line="115"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to any non-employee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with respect to any fiscal year of the Company, including awards granted and cash fees paid by the Company to such non-employee director, will not exceed the limits set forth in the Company’s 2022 Plan, currently, (1) $750,000 in total value or</w:t>
      </w:r>
    </w:p>
    <w:p>
      <w:pPr>
        <w:spacing w:after="0" w:line="1" w:lineRule="exact"/>
        <w:rPr>
          <w:sz w:val="20"/>
          <w:szCs w:val="20"/>
          <w:color w:val="auto"/>
        </w:rPr>
      </w:pPr>
    </w:p>
    <w:p>
      <w:pPr>
        <w:ind w:left="1" w:right="1740" w:hanging="1"/>
        <w:spacing w:after="0" w:line="431" w:lineRule="auto"/>
        <w:tabs>
          <w:tab w:leader="none" w:pos="25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non-employee director first joins the Board during such fiscal year, $1,000,000 in total value. All RSU awards shall be issued pursuant to the terms of the Company’s 2022 Plan.</w:t>
      </w:r>
    </w:p>
    <w:p>
      <w:pPr>
        <w:spacing w:after="0" w:line="29" w:lineRule="exact"/>
        <w:rPr>
          <w:sz w:val="20"/>
          <w:szCs w:val="20"/>
          <w:color w:val="auto"/>
        </w:rPr>
      </w:pPr>
    </w:p>
    <w:p>
      <w:pPr>
        <w:ind w:left="1"/>
        <w:spacing w:after="0"/>
        <w:tabs>
          <w:tab w:leader="none" w:pos="781"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62" w:lineRule="exact"/>
        <w:rPr>
          <w:sz w:val="20"/>
          <w:szCs w:val="20"/>
          <w:color w:val="auto"/>
        </w:rPr>
      </w:pPr>
    </w:p>
    <w:p>
      <w:pPr>
        <w:ind w:left="1"/>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common stock, as of March 17, 2025 by:</w:t>
      </w:r>
    </w:p>
    <w:p>
      <w:pPr>
        <w:spacing w:after="0" w:line="108" w:lineRule="exact"/>
        <w:rPr>
          <w:sz w:val="20"/>
          <w:szCs w:val="20"/>
          <w:color w:val="auto"/>
        </w:rPr>
      </w:pPr>
    </w:p>
    <w:p>
      <w:pPr>
        <w:ind w:left="681" w:hanging="330"/>
        <w:spacing w:after="0"/>
        <w:tabs>
          <w:tab w:leader="none" w:pos="6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57" w:lineRule="exact"/>
        <w:rPr>
          <w:rFonts w:ascii="Times New Roman" w:cs="Times New Roman" w:eastAsia="Times New Roman" w:hAnsi="Times New Roman"/>
          <w:sz w:val="18"/>
          <w:szCs w:val="18"/>
          <w:color w:val="auto"/>
        </w:rPr>
      </w:pPr>
    </w:p>
    <w:p>
      <w:pPr>
        <w:ind w:left="681" w:hanging="330"/>
        <w:spacing w:after="0"/>
        <w:tabs>
          <w:tab w:leader="none" w:pos="6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44" w:lineRule="exact"/>
        <w:rPr>
          <w:rFonts w:ascii="Times New Roman" w:cs="Times New Roman" w:eastAsia="Times New Roman" w:hAnsi="Times New Roman"/>
          <w:sz w:val="18"/>
          <w:szCs w:val="18"/>
          <w:color w:val="auto"/>
        </w:rPr>
      </w:pPr>
    </w:p>
    <w:p>
      <w:pPr>
        <w:ind w:left="681" w:hanging="330"/>
        <w:spacing w:after="0"/>
        <w:tabs>
          <w:tab w:leader="none" w:pos="6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57" w:lineRule="exact"/>
        <w:rPr>
          <w:rFonts w:ascii="Times New Roman" w:cs="Times New Roman" w:eastAsia="Times New Roman" w:hAnsi="Times New Roman"/>
          <w:sz w:val="18"/>
          <w:szCs w:val="18"/>
          <w:color w:val="auto"/>
        </w:rPr>
      </w:pPr>
    </w:p>
    <w:p>
      <w:pPr>
        <w:ind w:left="681" w:hanging="330"/>
        <w:spacing w:after="0"/>
        <w:tabs>
          <w:tab w:leader="none" w:pos="68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table lists the applicable percentage of ownership based on an aggregate of 8,654,869 shares of common stock outstanding as of March 17, 2024. In addition, the rules provide for the inclusion of shares of our common stock issuable pursuant to the vesting and settlement of RSUs and the exercise of stock options and warrants that are either immediately exercisable or exercisable within 60 days of March 17, 2025. These shares of common stock are deemed to be outstanding and beneficially owned by the person holding those RSUs, options or warrants for the purpose of computing the percentage ownership of that person, but they are not treated as outstanding for the purpose of computing the percentage ownership of any other person.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MetaVia Inc., 545 Concord Avenue, Suite 210, Cambridge, Massachusetts, 02138.</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 of Beneficial Owner</w:t>
            </w:r>
          </w:p>
        </w:tc>
        <w:tc>
          <w:tcPr>
            <w:tcW w:w="1080" w:type="dxa"/>
            <w:vAlign w:val="bottom"/>
            <w:tcBorders>
              <w:bottom w:val="single" w:sz="8" w:color="auto"/>
            </w:tcBorders>
          </w:tcPr>
          <w:p>
            <w:pPr>
              <w:jc w:val="center"/>
              <w:ind w:right="30"/>
              <w:spacing w:after="0" w:line="242" w:lineRule="exact"/>
              <w:rPr>
                <w:sz w:val="20"/>
                <w:szCs w:val="20"/>
                <w:color w:val="auto"/>
              </w:rPr>
            </w:pPr>
            <w:r>
              <w:rPr>
                <w:rFonts w:ascii="Times New Roman" w:cs="Times New Roman" w:eastAsia="Times New Roman" w:hAnsi="Times New Roman"/>
                <w:sz w:val="18"/>
                <w:szCs w:val="18"/>
                <w:color w:val="auto"/>
                <w:w w:val="93"/>
              </w:rPr>
              <w:t xml:space="preserve">Owned </w:t>
            </w:r>
            <w:r>
              <w:rPr>
                <w:rFonts w:ascii="Times New Roman" w:cs="Times New Roman" w:eastAsia="Times New Roman" w:hAnsi="Times New Roman"/>
                <w:sz w:val="26"/>
                <w:szCs w:val="26"/>
                <w:color w:val="auto"/>
                <w:w w:val="93"/>
                <w:vertAlign w:val="superscript"/>
              </w:rPr>
              <w:t>(1)</w:t>
            </w:r>
          </w:p>
        </w:tc>
        <w:tc>
          <w:tcPr>
            <w:tcW w:w="920" w:type="dxa"/>
            <w:vAlign w:val="bottom"/>
            <w:tcBorders>
              <w:bottom w:val="single" w:sz="8" w:color="auto"/>
            </w:tcBorders>
          </w:tcPr>
          <w:p>
            <w:pPr>
              <w:jc w:val="right"/>
              <w:spacing w:after="0" w:line="242" w:lineRule="exact"/>
              <w:rPr>
                <w:sz w:val="20"/>
                <w:szCs w:val="20"/>
                <w:color w:val="auto"/>
              </w:rPr>
            </w:pPr>
            <w:r>
              <w:rPr>
                <w:rFonts w:ascii="Times New Roman" w:cs="Times New Roman" w:eastAsia="Times New Roman" w:hAnsi="Times New Roman"/>
                <w:sz w:val="18"/>
                <w:szCs w:val="18"/>
                <w:color w:val="auto"/>
              </w:rPr>
              <w:t xml:space="preserve">Percent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w:t>
            </w: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5% stockholders</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Dong-A ST Co., Ltd. </w:t>
            </w:r>
            <w:r>
              <w:rPr>
                <w:rFonts w:ascii="Times New Roman" w:cs="Times New Roman" w:eastAsia="Times New Roman" w:hAnsi="Times New Roman"/>
                <w:sz w:val="25"/>
                <w:szCs w:val="25"/>
                <w:color w:val="auto"/>
                <w:vertAlign w:val="superscript"/>
              </w:rPr>
              <w:t>(3)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5,347,792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Armistice Capital, LLC </w:t>
            </w:r>
            <w:r>
              <w:rPr>
                <w:rFonts w:ascii="Times New Roman" w:cs="Times New Roman" w:eastAsia="Times New Roman" w:hAnsi="Times New Roman"/>
                <w:sz w:val="25"/>
                <w:szCs w:val="25"/>
                <w:color w:val="auto"/>
                <w:vertAlign w:val="superscript"/>
              </w:rPr>
              <w:t>(4)</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848,000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 A. Glickman</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3,907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Jason Groves </w:t>
            </w:r>
            <w:r>
              <w:rPr>
                <w:rFonts w:ascii="Times New Roman" w:cs="Times New Roman" w:eastAsia="Times New Roman" w:hAnsi="Times New Roman"/>
                <w:sz w:val="25"/>
                <w:szCs w:val="25"/>
                <w:color w:val="auto"/>
                <w:vertAlign w:val="superscript"/>
              </w:rPr>
              <w:t>(5)</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Andrew I. Koven </w:t>
            </w:r>
            <w:r>
              <w:rPr>
                <w:rFonts w:ascii="Times New Roman" w:cs="Times New Roman" w:eastAsia="Times New Roman" w:hAnsi="Times New Roman"/>
                <w:sz w:val="25"/>
                <w:szCs w:val="25"/>
                <w:color w:val="auto"/>
                <w:vertAlign w:val="superscript"/>
              </w:rPr>
              <w:t>(6)</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Hyung Heon Kim </w:t>
            </w:r>
            <w:r>
              <w:rPr>
                <w:rFonts w:ascii="Times New Roman" w:cs="Times New Roman" w:eastAsia="Times New Roman" w:hAnsi="Times New Roman"/>
                <w:sz w:val="25"/>
                <w:szCs w:val="25"/>
                <w:color w:val="auto"/>
                <w:vertAlign w:val="superscript"/>
              </w:rPr>
              <w:t>(7)</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48,067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Michael Salsbury </w:t>
            </w:r>
            <w:r>
              <w:rPr>
                <w:rFonts w:ascii="Times New Roman" w:cs="Times New Roman" w:eastAsia="Times New Roman" w:hAnsi="Times New Roman"/>
                <w:sz w:val="25"/>
                <w:szCs w:val="25"/>
                <w:color w:val="auto"/>
                <w:vertAlign w:val="superscript"/>
              </w:rPr>
              <w:t>(5)</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D. Gordon Strickland </w:t>
            </w:r>
            <w:r>
              <w:rPr>
                <w:rFonts w:ascii="Times New Roman" w:cs="Times New Roman" w:eastAsia="Times New Roman" w:hAnsi="Times New Roman"/>
                <w:sz w:val="25"/>
                <w:szCs w:val="25"/>
                <w:color w:val="auto"/>
                <w:vertAlign w:val="superscript"/>
              </w:rPr>
              <w:t>(8)</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James P. Tursi, Director</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Marshall H. Woodworth</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6,632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(8 persons)</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102,943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80"/>
        <w:spacing w:after="0"/>
        <w:tabs>
          <w:tab w:leader="none" w:pos="1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Represents beneficial ownership of less than one percent.</w:t>
      </w:r>
    </w:p>
    <w:p>
      <w:pPr>
        <w:spacing w:after="0" w:line="162" w:lineRule="exact"/>
        <w:rPr>
          <w:sz w:val="20"/>
          <w:szCs w:val="20"/>
          <w:color w:val="auto"/>
        </w:rPr>
      </w:pPr>
    </w:p>
    <w:p>
      <w:pPr>
        <w:ind w:left="1200" w:hanging="243"/>
        <w:spacing w:after="0" w:line="208" w:lineRule="auto"/>
        <w:tabs>
          <w:tab w:leader="none" w:pos="1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shares underlying (i) options that are exercisable and (ii) RSUs that are vested or will become vested, in each case, within 60 days of March 25, 2024.</w:t>
      </w:r>
    </w:p>
    <w:p>
      <w:pPr>
        <w:spacing w:after="0" w:line="73" w:lineRule="exact"/>
        <w:rPr>
          <w:rFonts w:ascii="Times New Roman" w:cs="Times New Roman" w:eastAsia="Times New Roman" w:hAnsi="Times New Roman"/>
          <w:sz w:val="24"/>
          <w:szCs w:val="24"/>
          <w:color w:val="auto"/>
          <w:vertAlign w:val="superscript"/>
        </w:rPr>
      </w:pPr>
    </w:p>
    <w:p>
      <w:pPr>
        <w:ind w:left="1200" w:hanging="243"/>
        <w:spacing w:after="0" w:line="208" w:lineRule="auto"/>
        <w:tabs>
          <w:tab w:leader="none" w:pos="1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Applicable percentage of ownership is based on 8,654,869 shares of common stock outstanding as of March 17, 2025, as adjusted for each stockholder.</w:t>
      </w:r>
    </w:p>
    <w:p>
      <w:pPr>
        <w:spacing w:after="0" w:line="73" w:lineRule="exact"/>
        <w:rPr>
          <w:rFonts w:ascii="Times New Roman" w:cs="Times New Roman" w:eastAsia="Times New Roman" w:hAnsi="Times New Roman"/>
          <w:sz w:val="24"/>
          <w:szCs w:val="24"/>
          <w:color w:val="auto"/>
          <w:vertAlign w:val="superscript"/>
        </w:rPr>
      </w:pPr>
    </w:p>
    <w:p>
      <w:pPr>
        <w:ind w:left="1200" w:hanging="243"/>
        <w:spacing w:after="0" w:line="208" w:lineRule="auto"/>
        <w:tabs>
          <w:tab w:leader="none" w:pos="1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shares of common stock owned by Dong-A, a South Korean corporation, with an address of Dong-A ST Co., Ltd. is 64, Cheonho-daero, Dongdaemun-gu, Seoul, Republic of Korea.</w:t>
      </w:r>
    </w:p>
    <w:p>
      <w:pPr>
        <w:spacing w:after="0" w:line="73" w:lineRule="exact"/>
        <w:rPr>
          <w:rFonts w:ascii="Times New Roman" w:cs="Times New Roman" w:eastAsia="Times New Roman" w:hAnsi="Times New Roman"/>
          <w:sz w:val="24"/>
          <w:szCs w:val="24"/>
          <w:color w:val="auto"/>
          <w:vertAlign w:val="superscript"/>
        </w:rPr>
      </w:pPr>
    </w:p>
    <w:p>
      <w:pPr>
        <w:jc w:val="both"/>
        <w:ind w:left="1200" w:hanging="243"/>
        <w:spacing w:after="0"/>
        <w:tabs>
          <w:tab w:leader="none" w:pos="1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Based on information disclosed, as of February 14, 2025, in a Schedule 13G, as filed with the SEC, Armistice Capital, LLC (“Armistice Capital”), 510 Madison Avenue, 7th Floor, New York, New York 10022.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9" w:lineRule="exact"/>
        <w:rPr>
          <w:rFonts w:ascii="Times New Roman" w:cs="Times New Roman" w:eastAsia="Times New Roman" w:hAnsi="Times New Roman"/>
          <w:sz w:val="24"/>
          <w:szCs w:val="24"/>
          <w:color w:val="auto"/>
          <w:vertAlign w:val="superscript"/>
        </w:rPr>
      </w:pPr>
    </w:p>
    <w:p>
      <w:pPr>
        <w:ind w:left="1200" w:hanging="243"/>
        <w:spacing w:after="0"/>
        <w:tabs>
          <w:tab w:leader="none" w:pos="1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333 shares of common stock issuable upon exercise of outstanding options within 60 days of March 17, 2025.</w:t>
      </w:r>
    </w:p>
    <w:p>
      <w:pPr>
        <w:spacing w:after="0" w:line="91" w:lineRule="exact"/>
        <w:rPr>
          <w:rFonts w:ascii="Times New Roman" w:cs="Times New Roman" w:eastAsia="Times New Roman" w:hAnsi="Times New Roman"/>
          <w:sz w:val="24"/>
          <w:szCs w:val="24"/>
          <w:color w:val="auto"/>
          <w:vertAlign w:val="superscript"/>
        </w:rPr>
      </w:pPr>
    </w:p>
    <w:p>
      <w:pPr>
        <w:ind w:left="1200" w:hanging="243"/>
        <w:spacing w:after="0" w:line="198" w:lineRule="auto"/>
        <w:tabs>
          <w:tab w:leader="none" w:pos="1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(i) 333 shares of common stock issuable upon exercise of outstanding options within 60 days of March 17, 2025 and (ii) 9,767 of vested RSUs whose common stock issuance was deferred under the terms of the RSU award.</w:t>
      </w:r>
    </w:p>
    <w:p>
      <w:pPr>
        <w:spacing w:after="0" w:line="75" w:lineRule="exact"/>
        <w:rPr>
          <w:rFonts w:ascii="Times New Roman" w:cs="Times New Roman" w:eastAsia="Times New Roman" w:hAnsi="Times New Roman"/>
          <w:sz w:val="24"/>
          <w:szCs w:val="24"/>
          <w:color w:val="auto"/>
          <w:vertAlign w:val="superscript"/>
        </w:rPr>
      </w:pPr>
    </w:p>
    <w:p>
      <w:pPr>
        <w:ind w:left="1200" w:hanging="243"/>
        <w:spacing w:after="0" w:line="208" w:lineRule="auto"/>
        <w:tabs>
          <w:tab w:leader="none" w:pos="1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(i) 83 shares of common stock issuable upon exercise of outstanding options within 60 days of March 17, 2025 and (ii) 6,510 of RSUs that will vest within 60 days of March 17, 2025.</w:t>
      </w:r>
    </w:p>
    <w:p>
      <w:pPr>
        <w:sectPr>
          <w:pgSz w:w="11900" w:h="16838" w:orient="portrait"/>
          <w:cols w:equalWidth="0" w:num="1">
            <w:col w:w="9240"/>
          </w:cols>
          <w:pgMar w:left="1320" w:top="513" w:right="1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0" w:hanging="243"/>
        <w:spacing w:after="0"/>
        <w:tabs>
          <w:tab w:leader="none" w:pos="1200"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250 shares of common stock issuable upon exercise of outstanding options within 60 days of March 17, 2025.</w:t>
      </w:r>
    </w:p>
    <w:p>
      <w:pPr>
        <w:spacing w:after="0" w:line="88"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3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2024 with respect to compensation plans under which shares of our common stock may be issued.</w:t>
      </w:r>
    </w:p>
    <w:p>
      <w:pPr>
        <w:spacing w:after="0" w:line="12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9"/>
              </w:rPr>
              <w:t>(a)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w w:val="89"/>
              </w:rPr>
              <w:t>(c)</w:t>
            </w:r>
          </w:p>
        </w:tc>
      </w:tr>
      <w:tr>
        <w:trPr>
          <w:trHeight w:val="191"/>
        </w:trPr>
        <w:tc>
          <w:tcPr>
            <w:tcW w:w="45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w w:val="97"/>
              </w:rPr>
              <w:t>securities</w:t>
            </w:r>
          </w:p>
        </w:tc>
      </w:tr>
      <w:tr>
        <w:trPr>
          <w:trHeight w:val="203"/>
        </w:trPr>
        <w:tc>
          <w:tcPr>
            <w:tcW w:w="4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gridSpan w:val="2"/>
          </w:tcPr>
          <w:p>
            <w:pPr>
              <w:jc w:val="center"/>
              <w:ind w:right="153"/>
              <w:spacing w:after="0" w:line="202" w:lineRule="exact"/>
              <w:rPr>
                <w:sz w:val="20"/>
                <w:szCs w:val="20"/>
                <w:color w:val="auto"/>
              </w:rPr>
            </w:pPr>
            <w:r>
              <w:rPr>
                <w:rFonts w:ascii="Times New Roman" w:cs="Times New Roman" w:eastAsia="Times New Roman" w:hAnsi="Times New Roman"/>
                <w:sz w:val="18"/>
                <w:szCs w:val="18"/>
                <w:color w:val="auto"/>
              </w:rPr>
              <w:t>remaining</w:t>
            </w:r>
          </w:p>
        </w:tc>
      </w:tr>
      <w:tr>
        <w:trPr>
          <w:trHeight w:val="216"/>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w w:val="99"/>
              </w:rPr>
              <w:t>available for</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Pr>
          <w:p>
            <w:pPr>
              <w:spacing w:after="0"/>
              <w:rPr>
                <w:sz w:val="18"/>
                <w:szCs w:val="18"/>
                <w:color w:val="auto"/>
              </w:rPr>
            </w:pP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w w:val="97"/>
              </w:rPr>
              <w:t>future</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securities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Weighted</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rPr>
              <w:t>issuance</w:t>
            </w:r>
          </w:p>
        </w:tc>
      </w:tr>
      <w:tr>
        <w:trPr>
          <w:trHeight w:val="203"/>
        </w:trPr>
        <w:tc>
          <w:tcPr>
            <w:tcW w:w="4580" w:type="dxa"/>
            <w:vAlign w:val="bottom"/>
          </w:tcPr>
          <w:p>
            <w:pPr>
              <w:spacing w:after="0"/>
              <w:rPr>
                <w:sz w:val="17"/>
                <w:szCs w:val="17"/>
                <w:color w:val="auto"/>
              </w:rPr>
            </w:pPr>
          </w:p>
        </w:tc>
        <w:tc>
          <w:tcPr>
            <w:tcW w:w="9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to be issued</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average</w:t>
            </w:r>
          </w:p>
        </w:tc>
        <w:tc>
          <w:tcPr>
            <w:tcW w:w="1440" w:type="dxa"/>
            <w:vAlign w:val="bottom"/>
            <w:gridSpan w:val="2"/>
          </w:tcPr>
          <w:p>
            <w:pPr>
              <w:jc w:val="center"/>
              <w:ind w:right="153"/>
              <w:spacing w:after="0" w:line="202" w:lineRule="exact"/>
              <w:rPr>
                <w:sz w:val="20"/>
                <w:szCs w:val="20"/>
                <w:color w:val="auto"/>
              </w:rPr>
            </w:pPr>
            <w:r>
              <w:rPr>
                <w:rFonts w:ascii="Times New Roman" w:cs="Times New Roman" w:eastAsia="Times New Roman" w:hAnsi="Times New Roman"/>
                <w:sz w:val="18"/>
                <w:szCs w:val="18"/>
                <w:color w:val="auto"/>
                <w:w w:val="99"/>
              </w:rPr>
              <w:t>under equity</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upon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exercise</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w w:val="97"/>
              </w:rPr>
              <w:t>compensation</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exercise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price of</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w w:val="99"/>
              </w:rPr>
              <w:t>plans</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outstanding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rPr>
              <w:t>(excluding</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w w:val="97"/>
              </w:rPr>
              <w:t>securities</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warrants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rPr>
              <w:t>reflected in</w:t>
            </w:r>
          </w:p>
        </w:tc>
      </w:tr>
      <w:tr>
        <w:trPr>
          <w:trHeight w:val="216"/>
        </w:trPr>
        <w:tc>
          <w:tcPr>
            <w:tcW w:w="45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and rights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and rights</w:t>
            </w:r>
          </w:p>
        </w:tc>
        <w:tc>
          <w:tcPr>
            <w:tcW w:w="144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color w:val="auto"/>
              </w:rPr>
              <w:t>column (a))</w:t>
            </w:r>
          </w:p>
        </w:tc>
      </w:tr>
      <w:tr>
        <w:trPr>
          <w:trHeight w:val="234"/>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9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0"/>
                <w:szCs w:val="20"/>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179,786</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398.30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356,992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93"/>
              <w:spacing w:after="0" w:line="216" w:lineRule="exact"/>
              <w:rPr>
                <w:sz w:val="20"/>
                <w:szCs w:val="20"/>
                <w:color w:val="auto"/>
              </w:rPr>
            </w:pPr>
            <w:r>
              <w:rPr>
                <w:rFonts w:ascii="Times New Roman" w:cs="Times New Roman" w:eastAsia="Times New Roman" w:hAnsi="Times New Roman"/>
                <w:sz w:val="17"/>
                <w:szCs w:val="17"/>
                <w:color w:val="auto"/>
              </w:rPr>
              <w:t xml:space="preserve">4,166 </w:t>
            </w:r>
            <w:r>
              <w:rPr>
                <w:rFonts w:ascii="Times New Roman" w:cs="Times New Roman" w:eastAsia="Times New Roman" w:hAnsi="Times New Roman"/>
                <w:sz w:val="25"/>
                <w:szCs w:val="25"/>
                <w:color w:val="auto"/>
                <w:vertAlign w:val="superscript"/>
              </w:rPr>
              <w:t>(3)</w:t>
            </w:r>
          </w:p>
        </w:tc>
      </w:tr>
      <w:tr>
        <w:trPr>
          <w:trHeight w:val="210"/>
        </w:trPr>
        <w:tc>
          <w:tcPr>
            <w:tcW w:w="45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179,786</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398.30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361,158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000" w:hanging="326"/>
        <w:spacing w:after="0" w:line="208" w:lineRule="auto"/>
        <w:tabs>
          <w:tab w:leader="none" w:pos="100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number of shares of common stock remaining available for future issuance represents shares available for issuance under the 2022 Plan.</w:t>
      </w:r>
    </w:p>
    <w:p>
      <w:pPr>
        <w:spacing w:after="0" w:line="87" w:lineRule="exact"/>
        <w:rPr>
          <w:rFonts w:ascii="Times New Roman" w:cs="Times New Roman" w:eastAsia="Times New Roman" w:hAnsi="Times New Roman"/>
          <w:sz w:val="24"/>
          <w:szCs w:val="24"/>
          <w:color w:val="auto"/>
          <w:vertAlign w:val="superscript"/>
        </w:rPr>
      </w:pPr>
    </w:p>
    <w:p>
      <w:pPr>
        <w:jc w:val="both"/>
        <w:ind w:left="1000" w:hanging="326"/>
        <w:spacing w:after="0" w:line="219" w:lineRule="auto"/>
        <w:tabs>
          <w:tab w:leader="none" w:pos="100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2022 Plan provides that the number of shares that may be issued under the 2022 Plan shall be increased on the first day of each fiscal year by an amount equal to the lesser of (i) 5% of the number of outstanding shares of common stock on such date and (ii) an amount determined by the plan administrator.</w:t>
      </w:r>
    </w:p>
    <w:p>
      <w:pPr>
        <w:spacing w:after="0" w:line="73" w:lineRule="exact"/>
        <w:rPr>
          <w:rFonts w:ascii="Times New Roman" w:cs="Times New Roman" w:eastAsia="Times New Roman" w:hAnsi="Times New Roman"/>
          <w:sz w:val="24"/>
          <w:szCs w:val="24"/>
          <w:color w:val="auto"/>
          <w:vertAlign w:val="superscript"/>
        </w:rPr>
      </w:pPr>
    </w:p>
    <w:p>
      <w:pPr>
        <w:jc w:val="both"/>
        <w:ind w:left="1000" w:hanging="326"/>
        <w:spacing w:after="0" w:line="245" w:lineRule="auto"/>
        <w:tabs>
          <w:tab w:leader="none" w:pos="1000"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Our only equity compensation plan not approved by our security holders is our 2021 Inducement Plan. A total of 4,166 shares of our common stock have been reserved for issuance under the Inducement Plan, subject to adjustment for stock dividends, stock splits, or other changes in our common stock or capital structure. The Inducement Plan was approved by the compensation committee without stockholder approval pursuant to Nasdaq Stock Market Listing Rule 5635(c)(4), and is to be utilized exclusively for the grant of stock awards to individuals who were not previously an employee or non-employee director of MetaVia (or following a bona fide period of non-employment with MetaVia) as an inducement material to such individual’s entry into employment with MetaVia, within the meaning of Nasdaq Listing Rule 5635(c)(4). The 2021 Inducement Plan is administered by the Board. Stock awards under the Inducement Plan may only be granted by: (i) the compensation committee or (ii) another committee of the Board composed solely of at least two members of the Board who meet the requirements for independence under the Nasdaq Stock Market Listing Rules (the foregoing subsections (i) and (ii) are collectively referred to as the “Committee”). Under the 2021 Inducement Plan, the Committee may choose to grant (i) non-statutory stock options, (ii) stock appreciation rights, (iii) restricted stock awards, (iv) restricted stock unit awards, (v) performance stock awards, (vi) performance cash awards, and (vii) other stock awards to eligible recipients, with each grant to be evidenced by an award agreement setting forth the terms and conditions of the grant as determined by the compensation committee in accordance with the terms of the Inducement Plan.</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to which we have been a party, in which the amount involved in the transaction exceeded the lesser of $120,000 or 1% of the average of our total assets at year-end for the last two completed fiscal years, and in which any of our directors, nominees for director, executive officers or, to our knowledge, beneficial owners of more than 5% of our capital stock or any member of the immediate family of any of the foregoing persons had or will have a direct or indirect material interest.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2024, we entered into a Securities Purchase Agreement (the “Securities Purchase Agreement”) with Dong-A and another institutional investor (the “2024 Private Placement”). Pursuant to the Securities Purchase Agreement, we issued to Dong-A 2,544,530 shares of our Common Stock, Series A Warrants to purchase up to 2,544,530 shares of our Common Stock,</w:t>
      </w:r>
    </w:p>
    <w:p>
      <w:pPr>
        <w:sectPr>
          <w:pgSz w:w="11900" w:h="16838" w:orient="portrait"/>
          <w:cols w:equalWidth="0" w:num="1">
            <w:col w:w="9240"/>
          </w:cols>
          <w:pgMar w:left="1320" w:top="513" w:right="13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85" w:name="page86"/>
    <w:bookmarkEnd w:id="85"/>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and Series B Warrants to purchase up to 3,816,795 shares of our Common Stock in a private placement pursuant to Section 4(a)</w:t>
      </w:r>
    </w:p>
    <w:p>
      <w:pPr>
        <w:spacing w:after="0" w:line="27" w:lineRule="exact"/>
        <w:rPr>
          <w:sz w:val="20"/>
          <w:szCs w:val="20"/>
          <w:color w:val="auto"/>
        </w:rPr>
      </w:pPr>
    </w:p>
    <w:p>
      <w:pPr>
        <w:jc w:val="both"/>
        <w:ind w:left="1" w:hanging="1"/>
        <w:spacing w:after="0" w:line="249" w:lineRule="auto"/>
        <w:tabs>
          <w:tab w:leader="none" w:pos="26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Regulation D promulgated under the Securities Act. The Series A Warrants and the Series B Warrants have an exercise price of $3.93 per share and became exercisable as of September 18, 2024, which is the effective date of stockholder approval received at the Company’s special meeting of stockholders for the issuance of the shares upon exercise of the Series A Warrants and the Series B Warrants (the “Stockholder Approval Date”). In connection with the Securities Purchase Agreement, Dong-A entered into a voting agreement, whereby it agreed to vote all shares of Common Stock that it or its affiliate beneficially owned with respect to any proposals presented to stockholders for approval on the Stockholder Approval Date. The Series A Warrants will expire on the earlier of the twelve month anniversary of the Stockholder Approval Date and within 60 days following the public announcement of MetaVia receiving positive Phase 1 MAD data readout for DA-1726, and the Series B Warrants will expire on the earlier of the five years anniversary of the Stockholder Approval Date and within six months following the public announcement of MetaVia receiving positive Phase 1 Part 3 data readout for DA-1726.</w:t>
      </w:r>
    </w:p>
    <w:p>
      <w:pPr>
        <w:spacing w:after="0" w:line="116"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In connection with the 2024 Private Placement, on June 23, 2024, we entered into the Registration Rights Agreement with Dong-A and another institutional investor, pursuant to which, among other things, we were required to prepare and file with the SEC one or more registration statements to register for resale the shares of common stock sold in the 2024 Private Placement to Dong-A, as well as the shares issued to the other institutional investor in the 2024 Private Placement and in the registered direct offering (including the shares of common stock issuable upon exercise of the warrants issued in such offerings). On July 18, 2024, we filed a registration statement on Form S-1 to register such securities (the “Resale Registration Statement”). The Resale Registration Statement was declared effective by the SEC on July 24, 2024.</w:t>
      </w:r>
    </w:p>
    <w:p>
      <w:pPr>
        <w:spacing w:after="0" w:line="11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18"/>
          <w:szCs w:val="18"/>
          <w:color w:val="auto"/>
        </w:rPr>
        <w:t>Our common stock is listed on Nasdaq. Because Dong-A ST Co., Ltd. holds a majority of the voting power of our outstanding common stock, we are a “controlled company” under the listing rules of Nasdaq. As a controlled company, we are exempt from certain Nasdaq governance requirements that would otherwise apply to the composition and function of our Board. For example, we are not required to comply with certain rules that would otherwise require, among other things, (i) our Board to have a majority of independent directors, (ii) the compensation of our executive officers to be determined by a majority of the independent directors or a committee of independent directors, and (iii) director nominees to be selected or recommended either by a majority of the independent directors or a committee of independent directors. Notwithstanding our status as a controlled company, we remain subject to the requirements that our independent directors hold regular executive sessions and that our audit committee consist entirely of independent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07" w:lineRule="exact"/>
        <w:rPr>
          <w:sz w:val="20"/>
          <w:szCs w:val="20"/>
          <w:color w:val="auto"/>
        </w:rPr>
      </w:pPr>
    </w:p>
    <w:p>
      <w:pPr>
        <w:jc w:val="both"/>
        <w:ind w:left="1"/>
        <w:spacing w:after="0" w:line="257"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of directors committee:</w:t>
      </w:r>
    </w:p>
    <w:p>
      <w:pPr>
        <w:spacing w:after="0" w:line="1" w:lineRule="exact"/>
        <w:rPr>
          <w:sz w:val="20"/>
          <w:szCs w:val="20"/>
          <w:color w:val="auto"/>
        </w:rPr>
      </w:pPr>
    </w:p>
    <w:p>
      <w:pPr>
        <w:ind w:left="1" w:hanging="1"/>
        <w:spacing w:after="0" w:line="260" w:lineRule="auto"/>
        <w:tabs>
          <w:tab w:leader="none" w:pos="2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directly or indirectly, any consulting, advisory or other compensatory fee from the listed company or any of its subsidiaries; or (ii) be an affiliated person of the listed company or any of its subsidiaries.</w:t>
      </w:r>
    </w:p>
    <w:p>
      <w:pPr>
        <w:spacing w:after="0" w:line="100"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8"/>
          <w:szCs w:val="18"/>
          <w:color w:val="auto"/>
        </w:rPr>
        <w:t>Notwithstanding our status as a controlled company, the Board has undertaken a review of the independence of each director and considered whether each director has a material relationship with us that could compromise his ability to exercise independent judgment in carrying out his responsibilities. As a result of this review, the Board affirmatively determined that Mark A. Glickman, Jason Groves, Andrew I. Koven, Michael Salsbury, D. Gordon Strickland, and James P. Tursi, M.D., are “independent directors” as defined under the applicable rules and regulations of the SEC and the listing requirements and rules of Nasdaq. The Board determined that Hyung Heon Kim, our Chief Executive Officer and President, who serves as a director, is not an “independent director” as defined under the applicable regulations of the SEC and the listing requirements and rules of Nasdaq. In making this determination, the Board considered the current and prior relationships that each non-employee director has with us and all other facts and circumstances that the Board deemed relevant in determining each non-employee director’s independence, including the participation by our non-employee directors, or their affiliates, in certain financing transactions by us and the beneficial ownership of the common stock by each non-employee director. See “Certain Relationships and Related-Party Transactions” and “Security Ownership of Certain Beneficial Owners and Management.”</w:t>
      </w:r>
    </w:p>
    <w:p>
      <w:pPr>
        <w:spacing w:after="0" w:line="116"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18"/>
          <w:szCs w:val="18"/>
          <w:color w:val="auto"/>
        </w:rPr>
        <w:t>Additionally, all of our committees are comprised solely of independent directors under the current Nasdaq and SEC rules and regulations, with Messrs. Glickman, Koven and Strickland serving on our audit committee, Messrs. Glickman, Salsbury and Strickland serving on our compensation committee, and Messrs. Groves, Koven and Tursi serving on our nominating and corporate governance committee.</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86" w:name="page87"/>
    <w:bookmarkEnd w:id="86"/>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
        <w:spacing w:after="0"/>
        <w:tabs>
          <w:tab w:leader="none" w:pos="781"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Service fees paid to the independent registered public accounting firms</w:t>
      </w:r>
    </w:p>
    <w:p>
      <w:pPr>
        <w:spacing w:after="0" w:line="162"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the scope and fee arrangements for all services provided by BDO USA, P.C. (“BDO”), taking into account whether the provision of non-audit-related services is compatible with maintaining BDO independence.</w:t>
      </w:r>
    </w:p>
    <w:p>
      <w:pPr>
        <w:spacing w:after="0" w:line="108"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BDO for the audit of the annual financial statements for 2024 and 2023 (in thousands):</w:t>
      </w:r>
    </w:p>
    <w:p>
      <w:pPr>
        <w:spacing w:after="0" w:line="94" w:lineRule="exact"/>
        <w:rPr>
          <w:sz w:val="20"/>
          <w:szCs w:val="20"/>
          <w:color w:val="auto"/>
        </w:rPr>
      </w:pPr>
    </w:p>
    <w:tbl>
      <w:tblPr>
        <w:tblLayout w:type="fixed"/>
        <w:tblInd w:w="921"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Year Ended December 31,</w:t>
            </w:r>
          </w:p>
        </w:tc>
        <w:tc>
          <w:tcPr>
            <w:tcW w:w="460" w:type="dxa"/>
            <w:vAlign w:val="bottom"/>
            <w:tcBorders>
              <w:bottom w:val="single" w:sz="8" w:color="auto"/>
            </w:tcBorders>
          </w:tcPr>
          <w:p>
            <w:pPr>
              <w:spacing w:after="0"/>
              <w:rPr>
                <w:sz w:val="20"/>
                <w:szCs w:val="20"/>
                <w:color w:val="auto"/>
              </w:rPr>
            </w:pPr>
          </w:p>
        </w:tc>
      </w:tr>
      <w:tr>
        <w:trPr>
          <w:trHeight w:val="209"/>
        </w:trPr>
        <w:tc>
          <w:tcPr>
            <w:tcW w:w="4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8"/>
                <w:szCs w:val="18"/>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508</w:t>
            </w:r>
          </w:p>
        </w:tc>
        <w:tc>
          <w:tcPr>
            <w:tcW w:w="12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06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508</w:t>
            </w:r>
          </w:p>
        </w:tc>
        <w:tc>
          <w:tcPr>
            <w:tcW w:w="122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Audit fees consist of fees billed for services relating to the audit of our annual financial statement and review of our quarterly financial statements, and services that are normally provided in connection with statutory and regulatory filings or engagements, comfort letters, reports on an issuer's internal controls, and review of documents to be filed with the SEC (e.g. periodic filings, registration statements, and company responses to SEC comment letters).</w:t>
      </w:r>
    </w:p>
    <w:p>
      <w:pPr>
        <w:spacing w:after="0" w:line="1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Tax fees relate to permissible services for technical tax advice related to federal and state income tax matters.</w:t>
      </w:r>
    </w:p>
    <w:p>
      <w:pPr>
        <w:spacing w:after="0" w:line="154" w:lineRule="exact"/>
        <w:rPr>
          <w:sz w:val="20"/>
          <w:szCs w:val="20"/>
          <w:color w:val="auto"/>
        </w:rPr>
      </w:pPr>
    </w:p>
    <w:p>
      <w:pPr>
        <w:jc w:val="both"/>
        <w:ind w:left="1"/>
        <w:spacing w:after="0" w:line="271"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104"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Our audit committee generally pre-approves all audit and permitted non-audit and tax services provided by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ind w:left="1"/>
        <w:spacing w:after="0"/>
        <w:tabs>
          <w:tab w:leader="none" w:pos="781"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58" w:lineRule="exact"/>
        <w:rPr>
          <w:sz w:val="20"/>
          <w:szCs w:val="20"/>
          <w:color w:val="auto"/>
        </w:rPr>
      </w:pPr>
    </w:p>
    <w:p>
      <w:pPr>
        <w:ind w:left="321" w:hanging="321"/>
        <w:spacing w:after="0"/>
        <w:tabs>
          <w:tab w:leader="none" w:pos="32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financial statements schedules</w:t>
      </w:r>
    </w:p>
    <w:p>
      <w:pPr>
        <w:spacing w:after="0" w:line="161" w:lineRule="exact"/>
        <w:rPr>
          <w:rFonts w:ascii="Times New Roman" w:cs="Times New Roman" w:eastAsia="Times New Roman" w:hAnsi="Times New Roman"/>
          <w:sz w:val="18"/>
          <w:szCs w:val="18"/>
          <w:b w:val="1"/>
          <w:bCs w:val="1"/>
          <w:color w:val="auto"/>
        </w:rPr>
      </w:pPr>
    </w:p>
    <w:p>
      <w:pPr>
        <w:ind w:left="641" w:hanging="317"/>
        <w:spacing w:after="0"/>
        <w:tabs>
          <w:tab w:leader="none" w:pos="64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listed in the Index to Financial Statements on page F-1 of this Annual Report.</w:t>
      </w:r>
    </w:p>
    <w:p>
      <w:pPr>
        <w:spacing w:after="0" w:line="157" w:lineRule="exact"/>
        <w:rPr>
          <w:rFonts w:ascii="Times New Roman" w:cs="Times New Roman" w:eastAsia="Times New Roman" w:hAnsi="Times New Roman"/>
          <w:sz w:val="18"/>
          <w:szCs w:val="18"/>
          <w:color w:val="auto"/>
        </w:rPr>
      </w:pPr>
    </w:p>
    <w:p>
      <w:pPr>
        <w:ind w:left="641" w:hanging="317"/>
        <w:spacing w:after="0" w:line="266" w:lineRule="auto"/>
        <w:tabs>
          <w:tab w:leader="none" w:pos="64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 schedules are included because such schedules are not applicable, are not required, or because required information is included in the consolidated financial statements or notes thereto.</w:t>
      </w:r>
    </w:p>
    <w:p>
      <w:pPr>
        <w:spacing w:after="0" w:line="104" w:lineRule="exact"/>
        <w:rPr>
          <w:rFonts w:ascii="Times New Roman" w:cs="Times New Roman" w:eastAsia="Times New Roman" w:hAnsi="Times New Roman"/>
          <w:sz w:val="18"/>
          <w:szCs w:val="18"/>
          <w:color w:val="auto"/>
        </w:rPr>
      </w:pPr>
    </w:p>
    <w:p>
      <w:pPr>
        <w:ind w:left="321" w:hanging="321"/>
        <w:spacing w:after="0"/>
        <w:tabs>
          <w:tab w:leader="none" w:pos="321"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2" w:lineRule="exact"/>
        <w:rPr>
          <w:sz w:val="20"/>
          <w:szCs w:val="20"/>
          <w:color w:val="auto"/>
        </w:rPr>
      </w:pPr>
    </w:p>
    <w:tbl>
      <w:tblPr>
        <w:tblLayout w:type="fixed"/>
        <w:tblInd w:w="341"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6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7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776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Agreement and Plan of Merger, dated as of December 31, 2020, by and among the Registrant, Shelby</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Merger Sub 1, Inc., Shelby Merger Sub 2, LLC, ANA Therapeutics, Inc. and Akash Bakshi (incorporated</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by reference to Exhibit 2.1 to the Registrant’s Current Report on Form 8-K, filed with the SEC on January</w:t>
              </w:r>
            </w:hyperlink>
          </w:p>
        </w:tc>
      </w:tr>
      <w:tr>
        <w:trPr>
          <w:trHeight w:val="203"/>
        </w:trPr>
        <w:tc>
          <w:tcPr>
            <w:tcW w:w="8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6, 2021).</w:t>
              </w:r>
            </w:hyperlink>
          </w:p>
        </w:tc>
        <w:tc>
          <w:tcPr>
            <w:tcW w:w="350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776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Third Amended and Restated Certificate of Incorporation of the Registrant (incorporated by reference to</w:t>
              </w:r>
            </w:hyperlink>
          </w:p>
        </w:tc>
      </w:tr>
      <w:tr>
        <w:trPr>
          <w:trHeight w:val="196"/>
        </w:trPr>
        <w:tc>
          <w:tcPr>
            <w:tcW w:w="820" w:type="dxa"/>
            <w:vAlign w:val="bottom"/>
          </w:tcPr>
          <w:p>
            <w:pPr>
              <w:spacing w:after="0"/>
              <w:rPr>
                <w:sz w:val="17"/>
                <w:szCs w:val="17"/>
                <w:color w:val="auto"/>
              </w:rPr>
            </w:pPr>
          </w:p>
        </w:tc>
        <w:tc>
          <w:tcPr>
            <w:tcW w:w="7760" w:type="dxa"/>
            <w:vAlign w:val="bottom"/>
            <w:gridSpan w:val="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Exhibit 3.1 to the Registrant's Current Report on Form 8-K, filed with the SEC on August 10, 2016).</w:t>
              </w:r>
            </w:hyperlink>
          </w:p>
        </w:tc>
      </w:tr>
      <w:tr>
        <w:trPr>
          <w:trHeight w:val="21"/>
        </w:trPr>
        <w:tc>
          <w:tcPr>
            <w:tcW w:w="8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776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Certificate of Amendment (Reverse Stock Split) to the Third Amended and Restated Certificate of</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4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Incorporation of the Registrant (incorporated by reference to Exhibit 3.1 to the Registrant's Current Report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820" w:type="dxa"/>
            <w:vAlign w:val="bottom"/>
            <w:shd w:val="clear" w:color="auto" w:fill="CCEEFF"/>
          </w:tcPr>
          <w:p>
            <w:pPr>
              <w:spacing w:after="0"/>
              <w:rPr>
                <w:sz w:val="17"/>
                <w:szCs w:val="17"/>
                <w:color w:val="auto"/>
              </w:rPr>
            </w:pPr>
          </w:p>
        </w:tc>
        <w:tc>
          <w:tcPr>
            <w:tcW w:w="776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on Form 8-K, filed with the SEC on December 31, 2019).</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500" w:type="dxa"/>
            <w:vAlign w:val="bottom"/>
            <w:tcBorders>
              <w:top w:val="single" w:sz="8" w:color="0000EE"/>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1"/>
          </w:cols>
          <w:pgMar w:left="1319" w:top="513" w:right="1339" w:bottom="1440" w:gutter="0" w:footer="0" w:header="0"/>
        </w:sectPr>
      </w:pPr>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366395</wp:posOffset>
            </wp:positionV>
            <wp:extent cx="5880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7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Certificate of Amendment (Name Change) to the Third Amended and Restated Certificate of Incorporation</w:t>
              </w:r>
            </w:hyperlink>
          </w:p>
        </w:tc>
      </w:tr>
      <w:tr>
        <w:trPr>
          <w:trHeight w:val="196"/>
        </w:trPr>
        <w:tc>
          <w:tcPr>
            <w:tcW w:w="820" w:type="dxa"/>
            <w:vAlign w:val="bottom"/>
          </w:tcPr>
          <w:p>
            <w:pPr>
              <w:spacing w:after="0"/>
              <w:rPr>
                <w:sz w:val="17"/>
                <w:szCs w:val="17"/>
                <w:color w:val="auto"/>
              </w:rPr>
            </w:pPr>
          </w:p>
        </w:tc>
        <w:tc>
          <w:tcPr>
            <w:tcW w:w="7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of the Registrant (incorporated by reference to Exhibit 3.2 to the Registrant's Current Report on Form 8-K,</w:t>
              </w:r>
            </w:hyperlink>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filed with the SEC on December 31, 2019).</w:t>
              </w:r>
            </w:hyperlink>
          </w:p>
        </w:tc>
      </w:tr>
      <w:tr>
        <w:trPr>
          <w:trHeight w:val="21"/>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77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Certificate of Amendment (Reverse Stock Split) to the Third Amended and Restated Certificate of</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40" w:type="dxa"/>
            <w:vAlign w:val="bottom"/>
            <w:tcBorders>
              <w:bottom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Incorporation of the Registrant (incorporated by reference to Exhibit 3.1 to the Registrant's Current Report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7"/>
        </w:trPr>
        <w:tc>
          <w:tcPr>
            <w:tcW w:w="8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on Form 8-K, filed with the SEC on September 12, 2022).</w:t>
              </w:r>
            </w:hyperlink>
          </w:p>
        </w:tc>
        <w:tc>
          <w:tcPr>
            <w:tcW w:w="3560" w:type="dxa"/>
            <w:vAlign w:val="bottom"/>
            <w:tcBorders>
              <w:bottom w:val="single" w:sz="8" w:color="CCEEFF"/>
            </w:tcBorders>
            <w:gridSpan w:val="11"/>
            <w:shd w:val="clear" w:color="auto" w:fill="CCEEFF"/>
          </w:tcPr>
          <w:p>
            <w:pPr>
              <w:spacing w:after="0"/>
              <w:rPr>
                <w:sz w:val="18"/>
                <w:szCs w:val="18"/>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776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Certificate of Amendment to the Third Amended and Restated Certificate of Incorporation of the</w:t>
              </w:r>
            </w:hyperlink>
          </w:p>
        </w:tc>
      </w:tr>
      <w:tr>
        <w:trPr>
          <w:trHeight w:val="196"/>
        </w:trPr>
        <w:tc>
          <w:tcPr>
            <w:tcW w:w="820" w:type="dxa"/>
            <w:vAlign w:val="bottom"/>
          </w:tcPr>
          <w:p>
            <w:pPr>
              <w:spacing w:after="0"/>
              <w:rPr>
                <w:sz w:val="17"/>
                <w:szCs w:val="17"/>
                <w:color w:val="auto"/>
              </w:rPr>
            </w:pPr>
          </w:p>
        </w:tc>
        <w:tc>
          <w:tcPr>
            <w:tcW w:w="77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Registrant (incorporated by reference to Exhibit 3.1 to the Registrant’s Current Report on Form 8-K filed</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with the SEC on December 19, 2023).</w:t>
              </w:r>
            </w:hyperlink>
          </w:p>
        </w:tc>
      </w:tr>
      <w:tr>
        <w:trPr>
          <w:trHeight w:val="21"/>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77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Certificate of Amendment (Name Change) to the Third Amended and Restated Certificate of Incorporation</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of the Registrant (incorporated by reference to Exhibit 3.1 to the Registrant’s Current Report on Form 8-K,</w:t>
              </w:r>
            </w:hyperlink>
          </w:p>
        </w:tc>
      </w:tr>
      <w:tr>
        <w:trPr>
          <w:trHeight w:val="217"/>
        </w:trPr>
        <w:tc>
          <w:tcPr>
            <w:tcW w:w="82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filed with the SEC on November 18, 2024).</w:t>
              </w:r>
            </w:hyperlink>
          </w:p>
        </w:tc>
        <w:tc>
          <w:tcPr>
            <w:tcW w:w="4600" w:type="dxa"/>
            <w:vAlign w:val="bottom"/>
            <w:tcBorders>
              <w:bottom w:val="single" w:sz="8" w:color="CCEEFF"/>
            </w:tcBorders>
            <w:gridSpan w:val="14"/>
            <w:shd w:val="clear" w:color="auto" w:fill="CCEEFF"/>
          </w:tcPr>
          <w:p>
            <w:pPr>
              <w:spacing w:after="0"/>
              <w:rPr>
                <w:sz w:val="18"/>
                <w:szCs w:val="18"/>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774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Fourth Amended and Restated Bylaws of the Registrant (incorporated by reference to Exhibit 3.2 to the</w:t>
              </w:r>
            </w:hyperlink>
          </w:p>
        </w:tc>
        <w:tc>
          <w:tcPr>
            <w:tcW w:w="20" w:type="dxa"/>
            <w:vAlign w:val="bottom"/>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Registrant’s Current Report on Form 8-K, filed with the SEC on November 18, 2024).</w:t>
              </w:r>
            </w:hyperlink>
          </w:p>
        </w:tc>
      </w:tr>
      <w:tr>
        <w:trPr>
          <w:trHeight w:val="21"/>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77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Certificate of Designation of Preferences, Rights and Limitations, filed with the Delaware Secretary of</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State on November 4, 2022, with respect to the Series A Convertible Preferred Stock (incorporated by</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reference to Exhibit 3.1 to the Registrant’s Current Report on Form 8-K, filed with the SEC on November</w:t>
              </w:r>
            </w:hyperlink>
          </w:p>
        </w:tc>
      </w:tr>
      <w:tr>
        <w:trPr>
          <w:trHeight w:val="203"/>
        </w:trPr>
        <w:tc>
          <w:tcPr>
            <w:tcW w:w="8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8, 2022).</w:t>
              </w:r>
            </w:hyperlink>
          </w:p>
        </w:tc>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774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Certificate of Designation of Preferences, Rights and Limitations, filed with the Delaware Secretary of</w:t>
              </w:r>
            </w:hyperlink>
          </w:p>
        </w:tc>
        <w:tc>
          <w:tcPr>
            <w:tcW w:w="20" w:type="dxa"/>
            <w:vAlign w:val="bottom"/>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7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State on November 4, 2022, with respect to the Series B Convertible Preferred Stock (incorporated by</w:t>
              </w:r>
            </w:hyperlink>
          </w:p>
        </w:tc>
      </w:tr>
      <w:tr>
        <w:trPr>
          <w:trHeight w:val="196"/>
        </w:trPr>
        <w:tc>
          <w:tcPr>
            <w:tcW w:w="820" w:type="dxa"/>
            <w:vAlign w:val="bottom"/>
          </w:tcPr>
          <w:p>
            <w:pPr>
              <w:spacing w:after="0"/>
              <w:rPr>
                <w:sz w:val="17"/>
                <w:szCs w:val="17"/>
                <w:color w:val="auto"/>
              </w:rPr>
            </w:pPr>
          </w:p>
        </w:tc>
        <w:tc>
          <w:tcPr>
            <w:tcW w:w="7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reference to Exhibit 3.2 to the Registrant’s Current Report on Form 8-K, filed with the SEC on November</w:t>
              </w:r>
            </w:hyperlink>
          </w:p>
        </w:tc>
      </w:tr>
      <w:tr>
        <w:trPr>
          <w:trHeight w:val="203"/>
        </w:trPr>
        <w:tc>
          <w:tcPr>
            <w:tcW w:w="8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8, 2022).</w:t>
              </w:r>
            </w:hyperlink>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77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Common Stock Certificate of the Registrant (incorporated by reference to Exhibit 4.1 to the</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Registrant's Amendment No. 1 to Registration Statement on Form S-1, filed with the SEC on June 13,</w:t>
              </w:r>
            </w:hyperlink>
          </w:p>
        </w:tc>
      </w:tr>
      <w:tr>
        <w:trPr>
          <w:trHeight w:val="216"/>
        </w:trPr>
        <w:tc>
          <w:tcPr>
            <w:tcW w:w="8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2016).</w:t>
              </w:r>
            </w:hyperlink>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776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Warrant to Purchase Stock, dated July 31, 2018, by and between the Registrant and Silicon Valley Bank</w:t>
              </w:r>
            </w:hyperlink>
          </w:p>
        </w:tc>
      </w:tr>
      <w:tr>
        <w:trPr>
          <w:trHeight w:val="196"/>
        </w:trPr>
        <w:tc>
          <w:tcPr>
            <w:tcW w:w="820" w:type="dxa"/>
            <w:vAlign w:val="bottom"/>
          </w:tcPr>
          <w:p>
            <w:pPr>
              <w:spacing w:after="0"/>
              <w:rPr>
                <w:sz w:val="17"/>
                <w:szCs w:val="17"/>
                <w:color w:val="auto"/>
              </w:rPr>
            </w:pPr>
          </w:p>
        </w:tc>
        <w:tc>
          <w:tcPr>
            <w:tcW w:w="7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(incorporated by reference to Exhibit 4.1 to the Registrant’s Current Report on Form 8- K, filed with the</w:t>
              </w:r>
            </w:hyperlink>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SEC on August 6, 2018).</w:t>
              </w:r>
            </w:hyperlink>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77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Placement Agent’s Warrant to Purchase Common Stock (incorporated by reference to Exhibit 4.1</w:t>
              </w:r>
            </w:hyperlink>
          </w:p>
        </w:tc>
      </w:tr>
      <w:tr>
        <w:trPr>
          <w:trHeight w:val="196"/>
        </w:trPr>
        <w:tc>
          <w:tcPr>
            <w:tcW w:w="820" w:type="dxa"/>
            <w:vAlign w:val="bottom"/>
            <w:shd w:val="clear" w:color="auto" w:fill="CCEEFF"/>
          </w:tcPr>
          <w:p>
            <w:pPr>
              <w:spacing w:after="0"/>
              <w:rPr>
                <w:sz w:val="17"/>
                <w:szCs w:val="17"/>
                <w:color w:val="auto"/>
              </w:rPr>
            </w:pPr>
          </w:p>
        </w:tc>
        <w:tc>
          <w:tcPr>
            <w:tcW w:w="776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to the Registrant’s Current Report on Form 8-K, filed with the SEC on April 15, 2020).</w:t>
              </w:r>
            </w:hyperlink>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774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Warrant to Purchase Common Stock (incorporated by reference to Exhibit 4.1 to the Registrant’s</w:t>
              </w:r>
            </w:hyperlink>
          </w:p>
        </w:tc>
        <w:tc>
          <w:tcPr>
            <w:tcW w:w="20" w:type="dxa"/>
            <w:vAlign w:val="bottom"/>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Current Report on Form 8-K, filed with the SEC on January 21, 2021).</w:t>
              </w:r>
            </w:hyperlink>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77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Form of Warrant to Purchase shares of Common Stock (incorporated by reference to Exhibit 4.1 to the</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820" w:type="dxa"/>
            <w:vAlign w:val="bottom"/>
            <w:shd w:val="clear" w:color="auto" w:fill="CCEEFF"/>
          </w:tcPr>
          <w:p>
            <w:pPr>
              <w:spacing w:after="0"/>
              <w:rPr>
                <w:sz w:val="17"/>
                <w:szCs w:val="17"/>
                <w:color w:val="auto"/>
              </w:rPr>
            </w:pPr>
          </w:p>
        </w:tc>
        <w:tc>
          <w:tcPr>
            <w:tcW w:w="776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Registrant’s Current Report on Form 8-K, filed with the SEC on October 4, 2021).</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776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Series B Warrant to purchase shares of common stock (incorporated by reference to Exhibit 4.2 to</w:t>
              </w:r>
            </w:hyperlink>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the Registrant’s Current Report on Form 8-K, filed with the SEC on November 8, 2022).</w:t>
              </w:r>
            </w:hyperlink>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77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Warrant Agency Agreement, dated as of November 8, 2022, by and between the Registrant and American</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Stock Transfer and Trust Company LLC (incorporated by reference to Exhibit 4.3 to the Registrant’s</w:t>
              </w:r>
            </w:hyperlink>
          </w:p>
        </w:tc>
      </w:tr>
      <w:tr>
        <w:trPr>
          <w:trHeight w:val="196"/>
        </w:trPr>
        <w:tc>
          <w:tcPr>
            <w:tcW w:w="820" w:type="dxa"/>
            <w:vAlign w:val="bottom"/>
            <w:shd w:val="clear" w:color="auto" w:fill="CCEEFF"/>
          </w:tcPr>
          <w:p>
            <w:pPr>
              <w:spacing w:after="0"/>
              <w:rPr>
                <w:sz w:val="17"/>
                <w:szCs w:val="17"/>
                <w:color w:val="auto"/>
              </w:rPr>
            </w:pPr>
          </w:p>
        </w:tc>
        <w:tc>
          <w:tcPr>
            <w:tcW w:w="776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Current Report on Form 8-K, filed with the SEC on November 8, 2022).</w:t>
              </w:r>
            </w:hyperlink>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758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Form of Pre-Funded Warrant (incorporated by reference to Exhibit 4.1 to the Registrant’s Current Report</w:t>
              </w:r>
            </w:hyperlink>
          </w:p>
        </w:tc>
        <w:tc>
          <w:tcPr>
            <w:tcW w:w="180" w:type="dxa"/>
            <w:vAlign w:val="bottom"/>
            <w:gridSpan w:val="2"/>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on Form 8-K, filed with the SEC on June 25, 2024).</w:t>
              </w:r>
            </w:hyperlink>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75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Series A Warrant (incorporated by reference to Exhibit 4.2 to the Registrant’s Current Report on</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820" w:type="dxa"/>
            <w:vAlign w:val="bottom"/>
            <w:shd w:val="clear" w:color="auto" w:fill="CCEEFF"/>
          </w:tcPr>
          <w:p>
            <w:pPr>
              <w:spacing w:after="0"/>
              <w:rPr>
                <w:sz w:val="17"/>
                <w:szCs w:val="17"/>
                <w:color w:val="auto"/>
              </w:rPr>
            </w:pPr>
          </w:p>
        </w:tc>
        <w:tc>
          <w:tcPr>
            <w:tcW w:w="776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8-K, filed with the SEC on June 25, 2024).</w:t>
              </w:r>
            </w:hyperlink>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756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Series B Warrant (incorporated by reference to Exhibit 4.3 to the Registrant’s Current Report on</w:t>
              </w:r>
            </w:hyperlink>
          </w:p>
        </w:tc>
        <w:tc>
          <w:tcPr>
            <w:tcW w:w="200" w:type="dxa"/>
            <w:vAlign w:val="bottom"/>
            <w:gridSpan w:val="3"/>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8-K, filed with the SEC on June 25, 2024).</w:t>
              </w:r>
            </w:hyperlink>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77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Placement Agent Warrant (incorporated by reference to Exhibit 4.4 to the Registrant’s Current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6"/>
        </w:trPr>
        <w:tc>
          <w:tcPr>
            <w:tcW w:w="820" w:type="dxa"/>
            <w:vAlign w:val="bottom"/>
            <w:shd w:val="clear" w:color="auto" w:fill="CCEEFF"/>
          </w:tcPr>
          <w:p>
            <w:pPr>
              <w:spacing w:after="0"/>
              <w:rPr>
                <w:sz w:val="18"/>
                <w:szCs w:val="18"/>
                <w:color w:val="auto"/>
              </w:rPr>
            </w:pPr>
          </w:p>
        </w:tc>
        <w:tc>
          <w:tcPr>
            <w:tcW w:w="776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Report on Form 8-K, filed with the SEC on June 25, 2024).</w:t>
              </w:r>
            </w:hyperlink>
          </w:p>
        </w:tc>
      </w:tr>
      <w:tr>
        <w:trPr>
          <w:trHeight w:val="176"/>
        </w:trPr>
        <w:tc>
          <w:tcPr>
            <w:tcW w:w="8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428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480" w:type="dxa"/>
            <w:vAlign w:val="bottom"/>
            <w:tcBorders>
              <w:top w:val="single" w:sz="8" w:color="CCEEFF"/>
            </w:tcBorders>
            <w:gridSpan w:val="10"/>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6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Indemnification Agreement.</w:t>
            </w:r>
          </w:p>
        </w:tc>
        <w:tc>
          <w:tcPr>
            <w:tcW w:w="5080" w:type="dxa"/>
            <w:vAlign w:val="bottom"/>
            <w:tcBorders>
              <w:bottom w:val="single" w:sz="8" w:color="CCEEFF"/>
            </w:tcBorders>
            <w:gridSpan w:val="18"/>
            <w:shd w:val="clear" w:color="auto" w:fill="CCEEFF"/>
          </w:tcPr>
          <w:p>
            <w:pPr>
              <w:spacing w:after="0"/>
              <w:rPr>
                <w:sz w:val="17"/>
                <w:szCs w:val="17"/>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776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Lease Agreement, dated as of August 23, 2023, by and between Alewife Properties LLC and the Registrant</w:t>
              </w:r>
            </w:hyperlink>
          </w:p>
        </w:tc>
      </w:tr>
      <w:tr>
        <w:trPr>
          <w:trHeight w:val="196"/>
        </w:trPr>
        <w:tc>
          <w:tcPr>
            <w:tcW w:w="820" w:type="dxa"/>
            <w:vAlign w:val="bottom"/>
          </w:tcPr>
          <w:p>
            <w:pPr>
              <w:spacing w:after="0"/>
              <w:rPr>
                <w:sz w:val="17"/>
                <w:szCs w:val="17"/>
                <w:color w:val="auto"/>
              </w:rPr>
            </w:pPr>
          </w:p>
        </w:tc>
        <w:tc>
          <w:tcPr>
            <w:tcW w:w="77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(incorporated by reference to Exhibit 10.2 to the Registrant’s Quarterly Report on Form 10-Q, filed with</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7760" w:type="dxa"/>
            <w:vAlign w:val="bottom"/>
            <w:gridSpan w:val="25"/>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the SEC on November 13, 2023)</w:t>
              </w:r>
              <w:r>
                <w:rPr>
                  <w:rFonts w:ascii="Times New Roman" w:cs="Times New Roman" w:eastAsia="Times New Roman" w:hAnsi="Times New Roman"/>
                  <w:sz w:val="18"/>
                  <w:szCs w:val="18"/>
                  <w:color w:val="000000"/>
                </w:rPr>
                <w:t>.</w:t>
              </w:r>
            </w:hyperlink>
          </w:p>
        </w:tc>
      </w:tr>
      <w:tr>
        <w:trPr>
          <w:trHeight w:val="20"/>
        </w:trPr>
        <w:tc>
          <w:tcPr>
            <w:tcW w:w="8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776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Employment Agreement entered into on August 11, 2023 by and between the Registrant and Hyung Heon</w:t>
              </w:r>
            </w:hyperlink>
          </w:p>
        </w:tc>
      </w:tr>
      <w:tr>
        <w:trPr>
          <w:trHeight w:val="196"/>
        </w:trPr>
        <w:tc>
          <w:tcPr>
            <w:tcW w:w="820" w:type="dxa"/>
            <w:vAlign w:val="bottom"/>
            <w:tcBorders>
              <w:bottom w:val="single" w:sz="8" w:color="CCEEFF"/>
            </w:tcBorders>
            <w:shd w:val="clear" w:color="auto" w:fill="CCEEFF"/>
          </w:tcPr>
          <w:p>
            <w:pPr>
              <w:spacing w:after="0"/>
              <w:rPr>
                <w:sz w:val="17"/>
                <w:szCs w:val="17"/>
                <w:color w:val="auto"/>
              </w:rPr>
            </w:pPr>
          </w:p>
        </w:tc>
        <w:tc>
          <w:tcPr>
            <w:tcW w:w="7740" w:type="dxa"/>
            <w:vAlign w:val="bottom"/>
            <w:tcBorders>
              <w:bottom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Kim (incorporated by reference to Exhibit 10.1 to the Registrant’s Current Report on Form 8-K, filed with</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6"/>
        </w:trPr>
        <w:tc>
          <w:tcPr>
            <w:tcW w:w="8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the SEC on August 14, 2023).</w:t>
              </w:r>
            </w:hyperlink>
          </w:p>
        </w:tc>
        <w:tc>
          <w:tcPr>
            <w:tcW w:w="5580" w:type="dxa"/>
            <w:vAlign w:val="bottom"/>
            <w:tcBorders>
              <w:bottom w:val="single" w:sz="8" w:color="CCEEFF"/>
            </w:tcBorders>
            <w:gridSpan w:val="20"/>
            <w:shd w:val="clear" w:color="auto" w:fill="CCEEFF"/>
          </w:tcPr>
          <w:p>
            <w:pPr>
              <w:spacing w:after="0"/>
              <w:rPr>
                <w:sz w:val="18"/>
                <w:szCs w:val="18"/>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774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Employment Agreement entered into on March 1, 2024 by and between the Registrant and Marshall H.</w:t>
              </w:r>
            </w:hyperlink>
          </w:p>
        </w:tc>
        <w:tc>
          <w:tcPr>
            <w:tcW w:w="20" w:type="dxa"/>
            <w:vAlign w:val="bottom"/>
          </w:tcPr>
          <w:p>
            <w:pPr>
              <w:spacing w:after="0"/>
              <w:rPr>
                <w:sz w:val="15"/>
                <w:szCs w:val="15"/>
                <w:color w:val="auto"/>
              </w:rPr>
            </w:pPr>
          </w:p>
        </w:tc>
      </w:tr>
      <w:tr>
        <w:trPr>
          <w:trHeight w:val="196"/>
        </w:trPr>
        <w:tc>
          <w:tcPr>
            <w:tcW w:w="820" w:type="dxa"/>
            <w:vAlign w:val="bottom"/>
          </w:tcPr>
          <w:p>
            <w:pPr>
              <w:spacing w:after="0"/>
              <w:rPr>
                <w:sz w:val="17"/>
                <w:szCs w:val="17"/>
                <w:color w:val="auto"/>
              </w:rPr>
            </w:pPr>
          </w:p>
        </w:tc>
        <w:tc>
          <w:tcPr>
            <w:tcW w:w="77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Woodworth (incorporated by reference to Exhibit 10.1 to the Registrant’s Current Report on Form 8-K,</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2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filed with the SEC on March 4, 2024).</w:t>
              </w:r>
            </w:hyperlink>
          </w:p>
        </w:tc>
        <w:tc>
          <w:tcPr>
            <w:tcW w:w="4980" w:type="dxa"/>
            <w:vAlign w:val="bottom"/>
            <w:gridSpan w:val="1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139"/>
          </w:cols>
          <w:pgMar w:left="1320" w:top="513" w:right="1440" w:bottom="1440" w:gutter="0" w:footer="0" w:header="0"/>
        </w:sectPr>
      </w:pPr>
    </w:p>
    <w:p>
      <w:pPr>
        <w:spacing w:after="0" w:line="1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39"/>
          </w:cols>
          <w:pgMar w:left="1320" w:top="513" w:right="1440" w:bottom="1440" w:gutter="0" w:footer="0" w:header="0"/>
          <w:type w:val="continuous"/>
        </w:sectPr>
      </w:pPr>
    </w:p>
    <w:bookmarkStart w:id="88" w:name="page89"/>
    <w:bookmarkEnd w:id="8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4280" w:type="dxa"/>
            <w:vAlign w:val="bottom"/>
            <w:tcBorders>
              <w:bottom w:val="single" w:sz="8" w:color="0000EE"/>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2019 Equity Incentive Plan of the Registrant and forms of</w:t>
            </w:r>
          </w:p>
        </w:tc>
      </w:tr>
      <w:tr>
        <w:trPr>
          <w:trHeight w:val="196"/>
        </w:trPr>
        <w:tc>
          <w:tcPr>
            <w:tcW w:w="4380" w:type="dxa"/>
            <w:vAlign w:val="bottom"/>
            <w:shd w:val="clear" w:color="auto" w:fill="CCEEFF"/>
          </w:tcPr>
          <w:p>
            <w:pPr>
              <w:spacing w:after="0"/>
              <w:rPr>
                <w:sz w:val="17"/>
                <w:szCs w:val="17"/>
                <w:color w:val="auto"/>
              </w:rPr>
            </w:pPr>
          </w:p>
        </w:tc>
        <w:tc>
          <w:tcPr>
            <w:tcW w:w="4280" w:type="dxa"/>
            <w:vAlign w:val="bottom"/>
            <w:tcBorders>
              <w:right w:val="single" w:sz="8" w:color="CCEEFF"/>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award agreements.</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428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2021 Inducement Plan of the</w:t>
            </w:r>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Registrant and form of award agreements.</w:t>
            </w:r>
          </w:p>
        </w:tc>
      </w:tr>
      <w:tr>
        <w:trPr>
          <w:trHeight w:val="21"/>
        </w:trPr>
        <w:tc>
          <w:tcPr>
            <w:tcW w:w="43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43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4280" w:type="dxa"/>
            <w:vAlign w:val="bottom"/>
            <w:tcBorders>
              <w:bottom w:val="single" w:sz="8" w:color="0000EE"/>
              <w:right w:val="single" w:sz="8" w:color="CCEE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2022 Equity Incentive Plan of the</w:t>
            </w:r>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Registrant, as amended November 29, 2024, and forms of</w:t>
            </w:r>
          </w:p>
        </w:tc>
      </w:tr>
      <w:tr>
        <w:trPr>
          <w:trHeight w:val="196"/>
        </w:trPr>
        <w:tc>
          <w:tcPr>
            <w:tcW w:w="4380" w:type="dxa"/>
            <w:vAlign w:val="bottom"/>
            <w:shd w:val="clear" w:color="auto" w:fill="CCEEFF"/>
          </w:tcPr>
          <w:p>
            <w:pPr>
              <w:spacing w:after="0"/>
              <w:rPr>
                <w:sz w:val="17"/>
                <w:szCs w:val="17"/>
                <w:color w:val="auto"/>
              </w:rPr>
            </w:pPr>
          </w:p>
        </w:tc>
        <w:tc>
          <w:tcPr>
            <w:tcW w:w="4280" w:type="dxa"/>
            <w:vAlign w:val="bottom"/>
            <w:tcBorders>
              <w:right w:val="single" w:sz="8" w:color="CCEEFF"/>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award agreements.</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428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Amended   and   Restated   Non-Employee   Director</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Compensation Policy, dated June 27, 2023 (incorporated</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by reference to Exhibit 10.1 to the Registrant’s Current</w:t>
              </w:r>
            </w:hyperlink>
          </w:p>
        </w:tc>
      </w:tr>
      <w:tr>
        <w:trPr>
          <w:trHeight w:val="203"/>
        </w:trPr>
        <w:tc>
          <w:tcPr>
            <w:tcW w:w="4380" w:type="dxa"/>
            <w:vAlign w:val="bottom"/>
          </w:tcPr>
          <w:p>
            <w:pPr>
              <w:spacing w:after="0"/>
              <w:rPr>
                <w:sz w:val="17"/>
                <w:szCs w:val="17"/>
                <w:color w:val="auto"/>
              </w:rPr>
            </w:pPr>
          </w:p>
        </w:tc>
        <w:tc>
          <w:tcPr>
            <w:tcW w:w="3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Report on Form 8-K, filed on June 29, 2023).</w:t>
              </w:r>
            </w:hyperlink>
          </w:p>
        </w:tc>
        <w:tc>
          <w:tcPr>
            <w:tcW w:w="1000" w:type="dxa"/>
            <w:vAlign w:val="bottom"/>
            <w:gridSpan w:val="3"/>
          </w:tcPr>
          <w:p>
            <w:pPr>
              <w:spacing w:after="0"/>
              <w:rPr>
                <w:sz w:val="17"/>
                <w:szCs w:val="17"/>
                <w:color w:val="auto"/>
              </w:rPr>
            </w:pPr>
          </w:p>
        </w:tc>
      </w:tr>
      <w:tr>
        <w:trPr>
          <w:trHeight w:val="175"/>
        </w:trPr>
        <w:tc>
          <w:tcPr>
            <w:tcW w:w="43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4280" w:type="dxa"/>
            <w:vAlign w:val="bottom"/>
            <w:tcBorders>
              <w:bottom w:val="single" w:sz="8" w:color="0000EE"/>
              <w:right w:val="single" w:sz="8" w:color="CCEE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Non-Employee   Director</w:t>
            </w:r>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Compensation Policy, dated May 7, 2024, as amended</w:t>
            </w:r>
          </w:p>
        </w:tc>
      </w:tr>
      <w:tr>
        <w:trPr>
          <w:trHeight w:val="216"/>
        </w:trPr>
        <w:tc>
          <w:tcPr>
            <w:tcW w:w="43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November 29, 2024.</w:t>
            </w:r>
          </w:p>
        </w:tc>
        <w:tc>
          <w:tcPr>
            <w:tcW w:w="2800" w:type="dxa"/>
            <w:vAlign w:val="bottom"/>
            <w:tcBorders>
              <w:bottom w:val="single" w:sz="8" w:color="CCEEFF"/>
              <w:right w:val="single" w:sz="8" w:color="CCEEFF"/>
            </w:tcBorders>
            <w:gridSpan w:val="7"/>
            <w:shd w:val="clear" w:color="auto" w:fill="CCEEFF"/>
          </w:tcPr>
          <w:p>
            <w:pPr>
              <w:spacing w:after="0"/>
              <w:rPr>
                <w:sz w:val="18"/>
                <w:szCs w:val="18"/>
                <w:color w:val="auto"/>
              </w:rPr>
            </w:pPr>
          </w:p>
        </w:tc>
      </w:tr>
      <w:tr>
        <w:trPr>
          <w:trHeight w:val="176"/>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428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License Agreement, dated September 14, 2022, by and</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between  Dong-A  ST  Co.,  Ltd.  and  the  Registrant</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(incorporated  by  reference  to  Exhibit  10.1  to  the</w:t>
              </w:r>
            </w:hyperlink>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Registrant’s Current Report on Form 8-K, filed with the</w:t>
              </w:r>
            </w:hyperlink>
          </w:p>
        </w:tc>
      </w:tr>
      <w:tr>
        <w:trPr>
          <w:trHeight w:val="182"/>
        </w:trPr>
        <w:tc>
          <w:tcPr>
            <w:tcW w:w="4380" w:type="dxa"/>
            <w:vAlign w:val="bottom"/>
          </w:tcPr>
          <w:p>
            <w:pPr>
              <w:spacing w:after="0"/>
              <w:rPr>
                <w:sz w:val="15"/>
                <w:szCs w:val="15"/>
                <w:color w:val="auto"/>
              </w:rPr>
            </w:pPr>
          </w:p>
        </w:tc>
        <w:tc>
          <w:tcPr>
            <w:tcW w:w="428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 on September 14, 2022).</w:t>
              </w:r>
            </w:hyperlink>
          </w:p>
        </w:tc>
      </w:tr>
      <w:tr>
        <w:trPr>
          <w:trHeight w:val="21"/>
        </w:trPr>
        <w:tc>
          <w:tcPr>
            <w:tcW w:w="43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6"/>
        </w:trPr>
        <w:tc>
          <w:tcPr>
            <w:tcW w:w="43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428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Shared Services Agreement, dated September 14, 2022,</w:t>
              </w:r>
            </w:hyperlink>
          </w:p>
        </w:tc>
      </w:tr>
      <w:tr>
        <w:trPr>
          <w:trHeight w:val="209"/>
        </w:trPr>
        <w:tc>
          <w:tcPr>
            <w:tcW w:w="438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EE"/>
              <w:right w:val="single" w:sz="8" w:color="CCEEFF"/>
            </w:tcBorders>
            <w:gridSpan w:val="10"/>
            <w:shd w:val="clear" w:color="auto" w:fill="CCEEFF"/>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by and between Dong-A ST Co., Ltd. and the Registrant</w:t>
              </w:r>
            </w:hyperlink>
          </w:p>
        </w:tc>
      </w:tr>
      <w:tr>
        <w:trPr>
          <w:trHeight w:val="209"/>
        </w:trPr>
        <w:tc>
          <w:tcPr>
            <w:tcW w:w="438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EE"/>
              <w:right w:val="single" w:sz="8" w:color="CCEEFF"/>
            </w:tcBorders>
            <w:gridSpan w:val="10"/>
            <w:shd w:val="clear" w:color="auto" w:fill="CCEEFF"/>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(incorporated  by  reference  to  Exhibit  10.2  to  the</w:t>
              </w:r>
            </w:hyperlink>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EE"/>
              <w:right w:val="single" w:sz="8" w:color="CCEEFF"/>
            </w:tcBorders>
            <w:gridSpan w:val="10"/>
            <w:shd w:val="clear" w:color="auto" w:fill="CCEEFF"/>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Registrant’s Current Report on Form 8-K, filed with the</w:t>
              </w:r>
            </w:hyperlink>
          </w:p>
        </w:tc>
      </w:tr>
      <w:tr>
        <w:trPr>
          <w:trHeight w:val="209"/>
        </w:trPr>
        <w:tc>
          <w:tcPr>
            <w:tcW w:w="4380" w:type="dxa"/>
            <w:vAlign w:val="bottom"/>
            <w:shd w:val="clear" w:color="auto" w:fill="CCEEFF"/>
          </w:tcPr>
          <w:p>
            <w:pPr>
              <w:spacing w:after="0"/>
              <w:rPr>
                <w:sz w:val="18"/>
                <w:szCs w:val="18"/>
                <w:color w:val="auto"/>
              </w:rPr>
            </w:pPr>
          </w:p>
        </w:tc>
        <w:tc>
          <w:tcPr>
            <w:tcW w:w="4280" w:type="dxa"/>
            <w:vAlign w:val="bottom"/>
            <w:tcBorders>
              <w:right w:val="single" w:sz="8" w:color="CCEEFF"/>
            </w:tcBorders>
            <w:gridSpan w:val="10"/>
            <w:shd w:val="clear" w:color="auto" w:fill="CCEEFF"/>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SEC on September 14, 2022).</w:t>
              </w:r>
            </w:hyperlink>
          </w:p>
        </w:tc>
      </w:tr>
      <w:tr>
        <w:trPr>
          <w:trHeight w:val="34"/>
        </w:trPr>
        <w:tc>
          <w:tcPr>
            <w:tcW w:w="4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75"/>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428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Registration  Rights  Agreement,  dated  September  14,</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2022,  by  and  among  Dong-A  ST  Co.,  Ltd.,  The</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E&amp;Healthcare Investment Fund II, The E&amp;Healthcare</w:t>
              </w:r>
            </w:hyperlink>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Investment Fund No. 6, The E&amp;Healthcare Investment</w:t>
              </w:r>
            </w:hyperlink>
          </w:p>
        </w:tc>
      </w:tr>
      <w:tr>
        <w:trPr>
          <w:trHeight w:val="183"/>
        </w:trPr>
        <w:tc>
          <w:tcPr>
            <w:tcW w:w="4380" w:type="dxa"/>
            <w:vAlign w:val="bottom"/>
          </w:tcPr>
          <w:p>
            <w:pPr>
              <w:spacing w:after="0"/>
              <w:rPr>
                <w:sz w:val="15"/>
                <w:szCs w:val="15"/>
                <w:color w:val="auto"/>
              </w:rPr>
            </w:pPr>
          </w:p>
        </w:tc>
        <w:tc>
          <w:tcPr>
            <w:tcW w:w="428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Fund No. 7 and the Registrant (incorporated by reference</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to Exhibit 10.4 to the Registrant’s Current Report on</w:t>
              </w:r>
            </w:hyperlink>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8-K, filed with the SEC on September 14, 2022).</w:t>
              </w:r>
            </w:hyperlink>
          </w:p>
        </w:tc>
      </w:tr>
      <w:tr>
        <w:trPr>
          <w:trHeight w:val="20"/>
        </w:trPr>
        <w:tc>
          <w:tcPr>
            <w:tcW w:w="43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43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428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Investor Rights Agreement, dated September 14, 2022,</w:t>
              </w:r>
            </w:hyperlink>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by and between Dong-A ST Co., Ltd. and the Registrant</w:t>
              </w:r>
            </w:hyperlink>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(incorporated  by  reference  to  Exhibit  10.5  to  the</w:t>
              </w:r>
            </w:hyperlink>
          </w:p>
        </w:tc>
      </w:tr>
      <w:tr>
        <w:trPr>
          <w:trHeight w:val="196"/>
        </w:trPr>
        <w:tc>
          <w:tcPr>
            <w:tcW w:w="4380" w:type="dxa"/>
            <w:vAlign w:val="bottom"/>
            <w:shd w:val="clear" w:color="auto" w:fill="CCEEFF"/>
          </w:tcPr>
          <w:p>
            <w:pPr>
              <w:spacing w:after="0"/>
              <w:rPr>
                <w:sz w:val="17"/>
                <w:szCs w:val="17"/>
                <w:color w:val="auto"/>
              </w:rPr>
            </w:pPr>
          </w:p>
        </w:tc>
        <w:tc>
          <w:tcPr>
            <w:tcW w:w="428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Registrant’s Current Report on Form 8-K, filed with the</w:t>
              </w:r>
            </w:hyperlink>
          </w:p>
        </w:tc>
      </w:tr>
      <w:tr>
        <w:trPr>
          <w:trHeight w:val="183"/>
        </w:trPr>
        <w:tc>
          <w:tcPr>
            <w:tcW w:w="438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0000EE"/>
              <w:right w:val="single" w:sz="8" w:color="CCEEFF"/>
            </w:tcBorders>
            <w:gridSpan w:val="10"/>
            <w:shd w:val="clear" w:color="auto" w:fill="CCEEFF"/>
          </w:tcPr>
          <w:p>
            <w:pPr>
              <w:spacing w:after="0" w:line="182"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SEC on September 14, 2022).</w:t>
              </w:r>
            </w:hyperlink>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428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Manufacturing and Supply Agreement (NB-02 formerly</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DA-9803), dated as of June 7, 2020, by and between</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Dong-A ST Co., Ltd. and the Registrant (incorporated by</w:t>
              </w:r>
            </w:hyperlink>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reference to Exhibit 10.2 to the Registrant’s Quarterly</w:t>
              </w:r>
            </w:hyperlink>
          </w:p>
        </w:tc>
      </w:tr>
      <w:tr>
        <w:trPr>
          <w:trHeight w:val="183"/>
        </w:trPr>
        <w:tc>
          <w:tcPr>
            <w:tcW w:w="4380" w:type="dxa"/>
            <w:vAlign w:val="bottom"/>
          </w:tcPr>
          <w:p>
            <w:pPr>
              <w:spacing w:after="0"/>
              <w:rPr>
                <w:sz w:val="15"/>
                <w:szCs w:val="15"/>
                <w:color w:val="auto"/>
              </w:rPr>
            </w:pPr>
          </w:p>
        </w:tc>
        <w:tc>
          <w:tcPr>
            <w:tcW w:w="428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Report on Form 10-Q, filed with the SEC on August 11,</w:t>
              </w:r>
            </w:hyperlink>
          </w:p>
        </w:tc>
      </w:tr>
      <w:tr>
        <w:trPr>
          <w:trHeight w:val="196"/>
        </w:trPr>
        <w:tc>
          <w:tcPr>
            <w:tcW w:w="4380" w:type="dxa"/>
            <w:vAlign w:val="bottom"/>
          </w:tcPr>
          <w:p>
            <w:pPr>
              <w:spacing w:after="0"/>
              <w:rPr>
                <w:sz w:val="17"/>
                <w:szCs w:val="17"/>
                <w:color w:val="auto"/>
              </w:rPr>
            </w:pPr>
          </w:p>
        </w:tc>
        <w:tc>
          <w:tcPr>
            <w:tcW w:w="1340" w:type="dxa"/>
            <w:vAlign w:val="bottom"/>
            <w:gridSpan w:val="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2020).</w:t>
              </w:r>
            </w:hyperlink>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43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428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Amended and Restated License Agreement, effective as</w:t>
              </w:r>
            </w:hyperlink>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of August 2, 2018, by and between the Registrant and</w:t>
              </w:r>
            </w:hyperlink>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Pfizer Inc. (incorporated by reference to Exhibit 10.1 to</w:t>
              </w:r>
            </w:hyperlink>
          </w:p>
        </w:tc>
      </w:tr>
      <w:tr>
        <w:trPr>
          <w:trHeight w:val="196"/>
        </w:trPr>
        <w:tc>
          <w:tcPr>
            <w:tcW w:w="4380" w:type="dxa"/>
            <w:vAlign w:val="bottom"/>
            <w:shd w:val="clear" w:color="auto" w:fill="CCEEFF"/>
          </w:tcPr>
          <w:p>
            <w:pPr>
              <w:spacing w:after="0"/>
              <w:rPr>
                <w:sz w:val="17"/>
                <w:szCs w:val="17"/>
                <w:color w:val="auto"/>
              </w:rPr>
            </w:pPr>
          </w:p>
        </w:tc>
        <w:tc>
          <w:tcPr>
            <w:tcW w:w="428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the Registrant’s Current Report on Form 8-K, filed with</w:t>
              </w:r>
            </w:hyperlink>
          </w:p>
        </w:tc>
      </w:tr>
      <w:tr>
        <w:trPr>
          <w:trHeight w:val="203"/>
        </w:trPr>
        <w:tc>
          <w:tcPr>
            <w:tcW w:w="4380" w:type="dxa"/>
            <w:vAlign w:val="bottom"/>
            <w:tcBorders>
              <w:top w:val="single" w:sz="8" w:color="CCEEFF"/>
              <w:bottom w:val="single" w:sz="8" w:color="CCEEFF"/>
            </w:tcBorders>
            <w:shd w:val="clear" w:color="auto" w:fill="CCEEFF"/>
          </w:tcPr>
          <w:p>
            <w:pPr>
              <w:spacing w:after="0"/>
              <w:rPr>
                <w:sz w:val="17"/>
                <w:szCs w:val="17"/>
                <w:color w:val="auto"/>
              </w:rPr>
            </w:pPr>
          </w:p>
        </w:tc>
        <w:tc>
          <w:tcPr>
            <w:tcW w:w="2080" w:type="dxa"/>
            <w:vAlign w:val="bottom"/>
            <w:tcBorders>
              <w:top w:val="single" w:sz="8" w:color="0000EE"/>
              <w:bottom w:val="single" w:sz="8" w:color="0000EE"/>
            </w:tcBorders>
            <w:gridSpan w:val="4"/>
            <w:shd w:val="clear" w:color="auto" w:fill="CCEEFF"/>
          </w:tcPr>
          <w:p>
            <w:pPr>
              <w:spacing w:after="0" w:line="182"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the SEC on August 6, 2018).</w:t>
              </w:r>
            </w:hyperlink>
          </w:p>
        </w:tc>
        <w:tc>
          <w:tcPr>
            <w:tcW w:w="2200" w:type="dxa"/>
            <w:vAlign w:val="bottom"/>
            <w:tcBorders>
              <w:top w:val="single" w:sz="8" w:color="0000EE"/>
              <w:bottom w:val="single" w:sz="8" w:color="CCEEFF"/>
              <w:right w:val="single" w:sz="8" w:color="CCEEFF"/>
            </w:tcBorders>
            <w:gridSpan w:val="6"/>
            <w:shd w:val="clear" w:color="auto" w:fill="CCEEFF"/>
          </w:tcPr>
          <w:p>
            <w:pPr>
              <w:spacing w:after="0"/>
              <w:rPr>
                <w:sz w:val="17"/>
                <w:szCs w:val="17"/>
                <w:color w:val="auto"/>
              </w:rPr>
            </w:pPr>
          </w:p>
        </w:tc>
      </w:tr>
      <w:tr>
        <w:trPr>
          <w:trHeight w:val="176"/>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428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License  and  Collaboration  Agreement,  dated  as  of</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July 23, 2019, by and between the Registrant and Beijing</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SL Pharmaceutical Co., Ltd. (incorporated by reference to</w:t>
              </w:r>
            </w:hyperlink>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Exhibit  10.6  to  the  Registrant’s  Current  Report  on</w:t>
              </w:r>
            </w:hyperlink>
          </w:p>
        </w:tc>
      </w:tr>
      <w:tr>
        <w:trPr>
          <w:trHeight w:val="183"/>
        </w:trPr>
        <w:tc>
          <w:tcPr>
            <w:tcW w:w="4380" w:type="dxa"/>
            <w:vAlign w:val="bottom"/>
          </w:tcPr>
          <w:p>
            <w:pPr>
              <w:spacing w:after="0"/>
              <w:rPr>
                <w:sz w:val="15"/>
                <w:szCs w:val="15"/>
                <w:color w:val="auto"/>
              </w:rPr>
            </w:pPr>
          </w:p>
        </w:tc>
        <w:tc>
          <w:tcPr>
            <w:tcW w:w="428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8-K, filed with the SEC on July 25, 2019).</w:t>
              </w:r>
            </w:hyperlink>
          </w:p>
        </w:tc>
      </w:tr>
      <w:tr>
        <w:trPr>
          <w:trHeight w:val="20"/>
        </w:trPr>
        <w:tc>
          <w:tcPr>
            <w:tcW w:w="43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5"/>
        </w:trPr>
        <w:tc>
          <w:tcPr>
            <w:tcW w:w="43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428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Contingent  Value  Rights  Agreement,  dated  as  of</w:t>
              </w:r>
            </w:hyperlink>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December 30, 2019, by and among the Registrant, Grand</w:t>
              </w:r>
            </w:hyperlink>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Rapids Holders Representative, LLC, Computershare Inc.</w:t>
              </w:r>
            </w:hyperlink>
          </w:p>
        </w:tc>
      </w:tr>
      <w:tr>
        <w:trPr>
          <w:trHeight w:val="196"/>
        </w:trPr>
        <w:tc>
          <w:tcPr>
            <w:tcW w:w="4380" w:type="dxa"/>
            <w:vAlign w:val="bottom"/>
            <w:shd w:val="clear" w:color="auto" w:fill="CCEEFF"/>
          </w:tcPr>
          <w:p>
            <w:pPr>
              <w:spacing w:after="0"/>
              <w:rPr>
                <w:sz w:val="17"/>
                <w:szCs w:val="17"/>
                <w:color w:val="auto"/>
              </w:rPr>
            </w:pPr>
          </w:p>
        </w:tc>
        <w:tc>
          <w:tcPr>
            <w:tcW w:w="428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and Computershare Trust Company, N.A. (incorporated</w:t>
              </w:r>
            </w:hyperlink>
          </w:p>
        </w:tc>
      </w:tr>
      <w:tr>
        <w:trPr>
          <w:trHeight w:val="183"/>
        </w:trPr>
        <w:tc>
          <w:tcPr>
            <w:tcW w:w="4380" w:type="dxa"/>
            <w:vAlign w:val="bottom"/>
            <w:tcBorders>
              <w:top w:val="single" w:sz="8" w:color="CCEEFF"/>
              <w:bottom w:val="single" w:sz="8" w:color="CCEEFF"/>
            </w:tcBorders>
            <w:shd w:val="clear" w:color="auto" w:fill="CCEEFF"/>
          </w:tcPr>
          <w:p>
            <w:pPr>
              <w:spacing w:after="0"/>
              <w:rPr>
                <w:sz w:val="15"/>
                <w:szCs w:val="15"/>
                <w:color w:val="auto"/>
              </w:rPr>
            </w:pPr>
          </w:p>
        </w:tc>
        <w:tc>
          <w:tcPr>
            <w:tcW w:w="4280" w:type="dxa"/>
            <w:vAlign w:val="bottom"/>
            <w:tcBorders>
              <w:top w:val="single" w:sz="8" w:color="0000EE"/>
              <w:bottom w:val="single" w:sz="8" w:color="0000EE"/>
              <w:right w:val="single" w:sz="8" w:color="CCEEFF"/>
            </w:tcBorders>
            <w:gridSpan w:val="10"/>
            <w:shd w:val="clear" w:color="auto" w:fill="CCEEFF"/>
          </w:tcPr>
          <w:p>
            <w:pPr>
              <w:spacing w:after="0" w:line="182"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by reference to Exhibit 10.1 to the Registrant’s Current</w:t>
              </w:r>
            </w:hyperlink>
          </w:p>
        </w:tc>
      </w:tr>
      <w:tr>
        <w:trPr>
          <w:trHeight w:val="196"/>
        </w:trPr>
        <w:tc>
          <w:tcPr>
            <w:tcW w:w="4380" w:type="dxa"/>
            <w:vAlign w:val="bottom"/>
            <w:shd w:val="clear" w:color="auto" w:fill="CCEEFF"/>
          </w:tcPr>
          <w:p>
            <w:pPr>
              <w:spacing w:after="0"/>
              <w:rPr>
                <w:sz w:val="17"/>
                <w:szCs w:val="17"/>
                <w:color w:val="auto"/>
              </w:rPr>
            </w:pPr>
          </w:p>
        </w:tc>
        <w:tc>
          <w:tcPr>
            <w:tcW w:w="428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Report on Form 8-K, filed with the SEC on December 31,</w:t>
              </w:r>
            </w:hyperlink>
          </w:p>
        </w:tc>
      </w:tr>
      <w:tr>
        <w:trPr>
          <w:trHeight w:val="196"/>
        </w:trPr>
        <w:tc>
          <w:tcPr>
            <w:tcW w:w="43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2019).</w:t>
              </w:r>
            </w:hyperlink>
          </w:p>
        </w:tc>
        <w:tc>
          <w:tcPr>
            <w:tcW w:w="1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r>
      <w:tr>
        <w:trPr>
          <w:trHeight w:val="21"/>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4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428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First Amendment to Contingent Value Rights Agreement,</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dated as of December 30, 2019, by and among the</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Registrant, Grand Rapids Holders Representative, LLC,</w:t>
              </w:r>
            </w:hyperlink>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Computershare Inc. and Computershare Trust Company,</w:t>
              </w:r>
            </w:hyperlink>
          </w:p>
        </w:tc>
      </w:tr>
      <w:tr>
        <w:trPr>
          <w:trHeight w:val="183"/>
        </w:trPr>
        <w:tc>
          <w:tcPr>
            <w:tcW w:w="4380" w:type="dxa"/>
            <w:vAlign w:val="bottom"/>
          </w:tcPr>
          <w:p>
            <w:pPr>
              <w:spacing w:after="0"/>
              <w:rPr>
                <w:sz w:val="15"/>
                <w:szCs w:val="15"/>
                <w:color w:val="auto"/>
              </w:rPr>
            </w:pPr>
          </w:p>
        </w:tc>
        <w:tc>
          <w:tcPr>
            <w:tcW w:w="428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N.A., dated as of March 23, 2021 (incorporated by</w:t>
              </w:r>
            </w:hyperlink>
          </w:p>
        </w:tc>
      </w:tr>
      <w:tr>
        <w:trPr>
          <w:trHeight w:val="196"/>
        </w:trPr>
        <w:tc>
          <w:tcPr>
            <w:tcW w:w="438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reference to Exhibit 10.1 to the Registrant’s Current</w:t>
              </w:r>
            </w:hyperlink>
          </w:p>
        </w:tc>
      </w:tr>
      <w:tr>
        <w:trPr>
          <w:trHeight w:val="196"/>
        </w:trPr>
        <w:tc>
          <w:tcPr>
            <w:tcW w:w="4380" w:type="dxa"/>
            <w:vAlign w:val="bottom"/>
          </w:tcPr>
          <w:p>
            <w:pPr>
              <w:spacing w:after="0"/>
              <w:rPr>
                <w:sz w:val="17"/>
                <w:szCs w:val="17"/>
                <w:color w:val="auto"/>
              </w:rPr>
            </w:pPr>
          </w:p>
        </w:tc>
        <w:tc>
          <w:tcPr>
            <w:tcW w:w="4280" w:type="dxa"/>
            <w:vAlign w:val="bottom"/>
            <w:gridSpan w:val="10"/>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Report on Form 8-K, filed with the SEC on March 24,</w:t>
              </w:r>
            </w:hyperlink>
          </w:p>
        </w:tc>
      </w:tr>
      <w:tr>
        <w:trPr>
          <w:trHeight w:val="196"/>
        </w:trPr>
        <w:tc>
          <w:tcPr>
            <w:tcW w:w="4380" w:type="dxa"/>
            <w:vAlign w:val="bottom"/>
          </w:tcPr>
          <w:p>
            <w:pPr>
              <w:spacing w:after="0"/>
              <w:rPr>
                <w:sz w:val="17"/>
                <w:szCs w:val="17"/>
                <w:color w:val="auto"/>
              </w:rPr>
            </w:pPr>
          </w:p>
        </w:tc>
        <w:tc>
          <w:tcPr>
            <w:tcW w:w="13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2021).</w:t>
              </w:r>
            </w:hyperlink>
          </w:p>
        </w:tc>
        <w:tc>
          <w:tcPr>
            <w:tcW w:w="1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76"/>
        </w:trPr>
        <w:tc>
          <w:tcPr>
            <w:tcW w:w="43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428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Registration Rights Agreement, dated as of June</w:t>
              </w:r>
            </w:hyperlink>
          </w:p>
        </w:tc>
      </w:tr>
      <w:tr>
        <w:trPr>
          <w:trHeight w:val="196"/>
        </w:trPr>
        <w:tc>
          <w:tcPr>
            <w:tcW w:w="4380" w:type="dxa"/>
            <w:vAlign w:val="bottom"/>
            <w:tcBorders>
              <w:bottom w:val="single" w:sz="8" w:color="CCEEFF"/>
            </w:tcBorders>
            <w:shd w:val="clear" w:color="auto" w:fill="CCEEFF"/>
          </w:tcPr>
          <w:p>
            <w:pPr>
              <w:spacing w:after="0"/>
              <w:rPr>
                <w:sz w:val="17"/>
                <w:szCs w:val="17"/>
                <w:color w:val="auto"/>
              </w:rPr>
            </w:pPr>
          </w:p>
        </w:tc>
        <w:tc>
          <w:tcPr>
            <w:tcW w:w="428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23, 2024, by and among the Registrant and the Purchasers</w:t>
              </w:r>
            </w:hyperlink>
          </w:p>
        </w:tc>
      </w:tr>
      <w:tr>
        <w:trPr>
          <w:trHeight w:val="196"/>
        </w:trPr>
        <w:tc>
          <w:tcPr>
            <w:tcW w:w="4380" w:type="dxa"/>
            <w:vAlign w:val="bottom"/>
            <w:shd w:val="clear" w:color="auto" w:fill="CCEEFF"/>
          </w:tcPr>
          <w:p>
            <w:pPr>
              <w:spacing w:after="0"/>
              <w:rPr>
                <w:sz w:val="17"/>
                <w:szCs w:val="17"/>
                <w:color w:val="auto"/>
              </w:rPr>
            </w:pPr>
          </w:p>
        </w:tc>
        <w:tc>
          <w:tcPr>
            <w:tcW w:w="428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identified on the signature pages thereto (incorporated by</w:t>
              </w:r>
            </w:hyperlink>
          </w:p>
        </w:tc>
      </w:tr>
      <w:tr>
        <w:trPr>
          <w:trHeight w:val="22"/>
        </w:trPr>
        <w:tc>
          <w:tcPr>
            <w:tcW w:w="438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r>
    </w:tbl>
    <w:p>
      <w:pPr>
        <w:sectPr>
          <w:pgSz w:w="11900" w:h="16900" w:orient="portrait"/>
          <w:cols w:equalWidth="0" w:num="1">
            <w:col w:w="9139"/>
          </w:cols>
          <w:pgMar w:left="1320" w:top="513" w:right="1440" w:bottom="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19.1*</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21.1*</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23.1*</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24.1*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31.2*</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32.1**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32.2**</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97.1*</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101.SCH*</w:t>
      </w:r>
    </w:p>
    <w:p>
      <w:pPr>
        <w:spacing w:after="0" w:line="1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101.CAL*</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101.DEF*</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101.LAB*</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101.PRE*</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jc w:val="both"/>
        <w:ind w:left="160" w:right="659"/>
        <w:spacing w:after="0" w:line="257"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reference to Exhibit 10.3 to the Registrant’s Current</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Report on Form 8-K, filed with the SEC on June 25,</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-410210</wp:posOffset>
            </wp:positionV>
            <wp:extent cx="545211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5452110" cy="41148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u w:val="single" w:color="auto"/>
          <w:color w:val="0000EE"/>
        </w:rPr>
        <w:t>Insider Trading Compliance Policy.</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5715</wp:posOffset>
            </wp:positionV>
            <wp:extent cx="545211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545211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u w:val="single" w:color="auto"/>
          <w:color w:val="0000EE"/>
        </w:rPr>
        <w:t>Subsidiaries of the Registrant.</w:t>
      </w:r>
    </w:p>
    <w:p>
      <w:pPr>
        <w:spacing w:after="0" w:line="9" w:lineRule="exact"/>
        <w:rPr>
          <w:rFonts w:ascii="Times New Roman" w:cs="Times New Roman" w:eastAsia="Times New Roman" w:hAnsi="Times New Roman"/>
          <w:sz w:val="18"/>
          <w:szCs w:val="18"/>
          <w:u w:val="single" w:color="auto"/>
          <w:color w:val="0000EE"/>
        </w:rPr>
      </w:pPr>
    </w:p>
    <w:p>
      <w:pPr>
        <w:ind w:left="160" w:right="499"/>
        <w:spacing w:after="0" w:line="250" w:lineRule="auto"/>
        <w:rPr>
          <w:sz w:val="20"/>
          <w:szCs w:val="20"/>
          <w:color w:val="auto"/>
        </w:rPr>
      </w:pPr>
      <w:r>
        <w:rPr>
          <w:rFonts w:ascii="Times New Roman" w:cs="Times New Roman" w:eastAsia="Times New Roman" w:hAnsi="Times New Roman"/>
          <w:sz w:val="18"/>
          <w:szCs w:val="18"/>
          <w:u w:val="single" w:color="auto"/>
          <w:color w:val="0000EE"/>
        </w:rPr>
        <w:t>Consent of Independent Registered Public Accounting Firm (BDO USA, P.C.).</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635</wp:posOffset>
            </wp:positionV>
            <wp:extent cx="545211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5452110" cy="274320"/>
                    </a:xfrm>
                    <a:prstGeom prst="rect">
                      <a:avLst/>
                    </a:prstGeom>
                    <a:noFill/>
                  </pic:spPr>
                </pic:pic>
              </a:graphicData>
            </a:graphic>
          </wp:anchor>
        </w:drawing>
      </w:r>
    </w:p>
    <w:p>
      <w:pPr>
        <w:jc w:val="both"/>
        <w:ind w:left="160" w:right="239"/>
        <w:spacing w:after="0" w:line="250" w:lineRule="auto"/>
        <w:rPr>
          <w:sz w:val="20"/>
          <w:szCs w:val="20"/>
          <w:color w:val="auto"/>
        </w:rPr>
      </w:pPr>
      <w:r>
        <w:rPr>
          <w:rFonts w:ascii="Times New Roman" w:cs="Times New Roman" w:eastAsia="Times New Roman" w:hAnsi="Times New Roman"/>
          <w:sz w:val="18"/>
          <w:szCs w:val="18"/>
          <w:u w:val="single" w:color="auto"/>
          <w:color w:val="0000EE"/>
        </w:rPr>
        <w:t>Power of Attorney (reference is made to the signature page hereto).</w:t>
      </w:r>
    </w:p>
    <w:p>
      <w:pPr>
        <w:spacing w:after="0" w:line="1" w:lineRule="exact"/>
        <w:rPr>
          <w:rFonts w:ascii="Times New Roman" w:cs="Times New Roman" w:eastAsia="Times New Roman" w:hAnsi="Times New Roman"/>
          <w:sz w:val="18"/>
          <w:szCs w:val="18"/>
          <w:u w:val="single" w:color="auto"/>
          <w:color w:val="0000EE"/>
        </w:rPr>
      </w:pPr>
    </w:p>
    <w:p>
      <w:pPr>
        <w:jc w:val="both"/>
        <w:ind w:left="160" w:right="239"/>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pursuant to Rule 13a-14(a) or 15d-14(a).</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635</wp:posOffset>
            </wp:positionV>
            <wp:extent cx="545211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5452110" cy="274320"/>
                    </a:xfrm>
                    <a:prstGeom prst="rect">
                      <a:avLst/>
                    </a:prstGeom>
                    <a:noFill/>
                  </pic:spPr>
                </pic:pic>
              </a:graphicData>
            </a:graphic>
          </wp:anchor>
        </w:drawing>
      </w:r>
    </w:p>
    <w:p>
      <w:pPr>
        <w:jc w:val="both"/>
        <w:ind w:left="160" w:right="239"/>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pursuant to Rule 13a-14(a) or 15d-14(a).</w:t>
      </w:r>
    </w:p>
    <w:p>
      <w:pPr>
        <w:spacing w:after="0" w:line="1" w:lineRule="exact"/>
        <w:rPr>
          <w:rFonts w:ascii="Times New Roman" w:cs="Times New Roman" w:eastAsia="Times New Roman" w:hAnsi="Times New Roman"/>
          <w:sz w:val="18"/>
          <w:szCs w:val="18"/>
          <w:u w:val="single" w:color="auto"/>
          <w:color w:val="0000EE"/>
        </w:rPr>
      </w:pPr>
    </w:p>
    <w:p>
      <w:pPr>
        <w:jc w:val="both"/>
        <w:ind w:left="160" w:right="239"/>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under Section 906 of the Sarbanes-Oxley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635</wp:posOffset>
            </wp:positionV>
            <wp:extent cx="545211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5452110" cy="274320"/>
                    </a:xfrm>
                    <a:prstGeom prst="rect">
                      <a:avLst/>
                    </a:prstGeom>
                    <a:noFill/>
                  </pic:spPr>
                </pic:pic>
              </a:graphicData>
            </a:graphic>
          </wp:anchor>
        </w:drawing>
      </w:r>
    </w:p>
    <w:p>
      <w:pPr>
        <w:jc w:val="both"/>
        <w:ind w:left="160" w:right="239"/>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under Section 906 of the Sarbanes-Oxley Act of 2002.</w:t>
      </w:r>
    </w:p>
    <w:p>
      <w:pPr>
        <w:spacing w:after="0" w:line="1" w:lineRule="exact"/>
        <w:rPr>
          <w:rFonts w:ascii="Times New Roman" w:cs="Times New Roman" w:eastAsia="Times New Roman" w:hAnsi="Times New Roman"/>
          <w:sz w:val="18"/>
          <w:szCs w:val="18"/>
          <w:u w:val="single" w:color="auto"/>
          <w:color w:val="0000EE"/>
        </w:rPr>
      </w:pPr>
    </w:p>
    <w:p>
      <w:pPr>
        <w:jc w:val="both"/>
        <w:ind w:left="160" w:right="239"/>
        <w:spacing w:after="0" w:line="255" w:lineRule="auto"/>
        <w:rPr>
          <w:sz w:val="20"/>
          <w:szCs w:val="20"/>
          <w:color w:val="auto"/>
        </w:rPr>
      </w:pPr>
      <w:r>
        <w:rPr>
          <w:rFonts w:ascii="Times New Roman" w:cs="Times New Roman" w:eastAsia="Times New Roman" w:hAnsi="Times New Roman"/>
          <w:sz w:val="18"/>
          <w:szCs w:val="18"/>
          <w:u w:val="single" w:color="auto"/>
          <w:color w:val="0000EE"/>
        </w:rPr>
        <w:t>Policy for the Recovery of Erroneously Awarded Compensation, dated November 3, 2023, as amended on November 29, 2024.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-6985</wp:posOffset>
            </wp:positionV>
            <wp:extent cx="545211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5452110" cy="146050"/>
                    </a:xfrm>
                    <a:prstGeom prst="rect">
                      <a:avLst/>
                    </a:prstGeom>
                    <a:noFill/>
                  </pic:spPr>
                </pic:pic>
              </a:graphicData>
            </a:graphic>
          </wp:anchor>
        </w:drawing>
      </w:r>
    </w:p>
    <w:p>
      <w:pPr>
        <w:spacing w:after="0" w:line="179" w:lineRule="exact"/>
        <w:rPr>
          <w:rFonts w:ascii="Times New Roman" w:cs="Times New Roman" w:eastAsia="Times New Roman" w:hAnsi="Times New Roman"/>
          <w:sz w:val="18"/>
          <w:szCs w:val="18"/>
          <w:u w:val="single" w:color="auto"/>
          <w:color w:val="0000EE"/>
        </w:rPr>
      </w:pPr>
    </w:p>
    <w:p>
      <w:pPr>
        <w:ind w:left="160" w:right="319"/>
        <w:spacing w:after="0" w:line="257" w:lineRule="auto"/>
        <w:rPr>
          <w:sz w:val="20"/>
          <w:szCs w:val="20"/>
          <w:color w:val="auto"/>
        </w:rPr>
      </w:pPr>
      <w:r>
        <w:rPr>
          <w:rFonts w:ascii="Times New Roman" w:cs="Times New Roman" w:eastAsia="Times New Roman" w:hAnsi="Times New Roman"/>
          <w:sz w:val="18"/>
          <w:szCs w:val="18"/>
          <w:color w:val="auto"/>
        </w:rPr>
        <w:t>Inline XBRL Taxonomy Extension Schema Document. Inline XBRL Taxonomy Extension Calculation Linkbase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-273050</wp:posOffset>
            </wp:positionV>
            <wp:extent cx="545211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5452110" cy="274320"/>
                    </a:xfrm>
                    <a:prstGeom prst="rect">
                      <a:avLst/>
                    </a:prstGeom>
                    <a:noFill/>
                  </pic:spPr>
                </pic:pic>
              </a:graphicData>
            </a:graphic>
          </wp:anchor>
        </w:drawing>
      </w:r>
    </w:p>
    <w:p>
      <w:pPr>
        <w:ind w:left="160" w:right="419"/>
        <w:spacing w:after="0" w:line="250" w:lineRule="auto"/>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635</wp:posOffset>
            </wp:positionV>
            <wp:extent cx="545211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5452110" cy="274320"/>
                    </a:xfrm>
                    <a:prstGeom prst="rect">
                      <a:avLst/>
                    </a:prstGeom>
                    <a:noFill/>
                  </pic:spPr>
                </pic:pic>
              </a:graphicData>
            </a:graphic>
          </wp:anchor>
        </w:drawing>
      </w:r>
    </w:p>
    <w:p>
      <w:pPr>
        <w:ind w:left="160" w:right="739"/>
        <w:spacing w:after="0" w:line="250" w:lineRule="auto"/>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 w:lineRule="exact"/>
        <w:rPr>
          <w:rFonts w:ascii="Times New Roman" w:cs="Times New Roman" w:eastAsia="Times New Roman" w:hAnsi="Times New Roman"/>
          <w:sz w:val="18"/>
          <w:szCs w:val="18"/>
          <w:u w:val="single" w:color="auto"/>
          <w:color w:val="0000EE"/>
        </w:rPr>
      </w:pPr>
    </w:p>
    <w:p>
      <w:pPr>
        <w:ind w:left="160" w:right="239"/>
        <w:spacing w:after="0" w:line="250" w:lineRule="auto"/>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-2684780</wp:posOffset>
            </wp:positionH>
            <wp:positionV relativeFrom="paragraph">
              <wp:posOffset>635</wp:posOffset>
            </wp:positionV>
            <wp:extent cx="545211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5452110" cy="274320"/>
                    </a:xfrm>
                    <a:prstGeom prst="rect">
                      <a:avLst/>
                    </a:prstGeom>
                    <a:noFill/>
                  </pic:spPr>
                </pic:pic>
              </a:graphicData>
            </a:graphic>
          </wp:anchor>
        </w:drawing>
      </w:r>
    </w:p>
    <w:p>
      <w:pPr>
        <w:ind w:left="160" w:right="599"/>
        <w:spacing w:after="0" w:line="260"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39"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-2899410</wp:posOffset>
            </wp:positionH>
            <wp:positionV relativeFrom="paragraph">
              <wp:posOffset>366395</wp:posOffset>
            </wp:positionV>
            <wp:extent cx="588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2">
            <w:col w:w="3720" w:space="720"/>
            <w:col w:w="4579"/>
          </w:cols>
          <w:pgMar w:left="1440" w:top="121"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591820</wp:posOffset>
            </wp:positionV>
            <wp:extent cx="5226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60" w:hanging="829"/>
        <w:spacing w:after="0"/>
        <w:tabs>
          <w:tab w:leader="none" w:pos="1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sz w:val="20"/>
          <w:szCs w:val="20"/>
          <w:color w:val="auto"/>
        </w:rPr>
      </w:pPr>
    </w:p>
    <w:p>
      <w:pPr>
        <w:ind w:left="1160" w:hanging="829"/>
        <w:spacing w:after="0"/>
        <w:tabs>
          <w:tab w:leader="none" w:pos="1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1160" w:hanging="829"/>
        <w:spacing w:after="0"/>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1160" w:right="239" w:hanging="829"/>
        <w:spacing w:after="0" w:line="282" w:lineRule="auto"/>
        <w:tabs>
          <w:tab w:leader="none" w:pos="1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and filed separately with the SEC portions of the exhibit pursuant to a confidential treatment request under Rule 406 promulgated under the Securities Act.</w:t>
      </w:r>
    </w:p>
    <w:p>
      <w:pPr>
        <w:spacing w:after="0" w:line="54" w:lineRule="exact"/>
        <w:rPr>
          <w:sz w:val="20"/>
          <w:szCs w:val="20"/>
          <w:color w:val="auto"/>
        </w:rPr>
      </w:pPr>
    </w:p>
    <w:p>
      <w:pPr>
        <w:ind w:left="1160" w:right="239" w:hanging="829"/>
        <w:spacing w:after="0" w:line="282" w:lineRule="auto"/>
        <w:tabs>
          <w:tab w:leader="none" w:pos="11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A copy of any omitted schedule and/or exhibit will be furnished to the SEC upon request.</w:t>
      </w:r>
    </w:p>
    <w:p>
      <w:pPr>
        <w:spacing w:after="0" w:line="54" w:lineRule="exact"/>
        <w:rPr>
          <w:sz w:val="20"/>
          <w:szCs w:val="20"/>
          <w:color w:val="auto"/>
        </w:rPr>
      </w:pPr>
    </w:p>
    <w:p>
      <w:pPr>
        <w:jc w:val="both"/>
        <w:ind w:left="1160" w:right="239" w:hanging="829"/>
        <w:spacing w:after="0" w:line="254" w:lineRule="auto"/>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A copy of any omitted schedule and/or exhibit will be furnished to the SEC upon request. Certain portions of the exhibits that are not material and would be competitively harmful if publicly disclosed have been redacted pursuant to Item 601(b)(10)(iv) of Regulation S-K. Copies of the unredacted exhibits will be furnished to the SEC upon request.</w:t>
      </w:r>
    </w:p>
    <w:p>
      <w:pPr>
        <w:spacing w:after="0" w:line="19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39"/>
          </w:cols>
          <w:pgMar w:left="1320" w:top="513"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 on March 20,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Hyung Heon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7774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Hyung Heon Kim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Marshall H.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7774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H. Woodworth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Hyung Heon Kim and Marshall H. Woodworth, and each of them, as his true and lawful attorneys-in-fact, proxies and agents, each with full power of substitution and resubstitution, for him and in his name, place and stead, in any and all capacities, to sign any and all amendments to this report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substitutes, may lawfully do or cause to be done by virtue hereof.</w:t>
      </w:r>
    </w:p>
    <w:p>
      <w:pPr>
        <w:spacing w:after="0" w:line="1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in the capacities indicated on March 20,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Signature</w:t>
            </w:r>
          </w:p>
        </w:tc>
        <w:tc>
          <w:tcPr>
            <w:tcW w:w="580" w:type="dxa"/>
            <w:vAlign w:val="bottom"/>
          </w:tcPr>
          <w:p>
            <w:pPr>
              <w:spacing w:after="0"/>
              <w:rPr>
                <w:sz w:val="20"/>
                <w:szCs w:val="20"/>
                <w:color w:val="auto"/>
              </w:rPr>
            </w:pPr>
          </w:p>
        </w:tc>
        <w:tc>
          <w:tcPr>
            <w:tcW w:w="43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Title</w:t>
            </w:r>
          </w:p>
        </w:tc>
      </w:tr>
      <w:tr>
        <w:trPr>
          <w:trHeight w:val="642"/>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Hyung Heon Kim</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Hyung Heon Kim</w:t>
            </w:r>
          </w:p>
        </w:tc>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Marshall H. Woodworth</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Marshall H. Woodworth</w:t>
            </w:r>
          </w:p>
        </w:tc>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Accounting Officer)</w:t>
            </w:r>
          </w:p>
        </w:tc>
      </w:tr>
      <w:tr>
        <w:trPr>
          <w:trHeight w:val="414"/>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A. Glickman</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Mark A. Glickman</w:t>
            </w:r>
          </w:p>
        </w:tc>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4"/>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L. Groves</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Jason L. Groves</w:t>
            </w:r>
          </w:p>
        </w:tc>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4"/>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I. Koven</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Andrew I. Koven</w:t>
            </w:r>
          </w:p>
        </w:tc>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4"/>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Salsbury</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Michael Salsbury</w:t>
            </w:r>
          </w:p>
        </w:tc>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4"/>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Gordon Strickland</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 Gordon Strickland</w:t>
            </w:r>
          </w:p>
        </w:tc>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414"/>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P. Tursi</w:t>
            </w:r>
          </w:p>
        </w:tc>
        <w:tc>
          <w:tcPr>
            <w:tcW w:w="58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James P. Tursi</w:t>
            </w:r>
          </w:p>
        </w:tc>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240"/>
          </w:cols>
          <w:pgMar w:left="1320" w:top="513" w:right="13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366395</wp:posOffset>
            </wp:positionV>
            <wp:extent cx="5880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r>
      <w:tr>
        <w:trPr>
          <w:trHeight w:val="763"/>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460" w:type="dxa"/>
            <w:vAlign w:val="bottom"/>
          </w:tcPr>
          <w:p>
            <w:pPr>
              <w:spacing w:after="0"/>
              <w:rPr>
                <w:sz w:val="24"/>
                <w:szCs w:val="24"/>
                <w:color w:val="auto"/>
              </w:rPr>
            </w:pPr>
          </w:p>
        </w:tc>
      </w:tr>
      <w:tr>
        <w:trPr>
          <w:trHeight w:val="391"/>
        </w:trPr>
        <w:tc>
          <w:tcPr>
            <w:tcW w:w="40" w:type="dxa"/>
            <w:vAlign w:val="bottom"/>
          </w:tcPr>
          <w:p>
            <w:pPr>
              <w:spacing w:after="0"/>
              <w:rPr>
                <w:sz w:val="24"/>
                <w:szCs w:val="24"/>
                <w:color w:val="auto"/>
              </w:rPr>
            </w:pPr>
          </w:p>
        </w:tc>
        <w:tc>
          <w:tcPr>
            <w:tcW w:w="8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(BDO USA, P.C. Boston Massachusetts, PCAOB ID#243)</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7"/>
              </w:rPr>
              <w:t>F-2</w:t>
            </w:r>
          </w:p>
        </w:tc>
      </w:tr>
      <w:tr>
        <w:trPr>
          <w:trHeight w:val="412"/>
        </w:trPr>
        <w:tc>
          <w:tcPr>
            <w:tcW w:w="40" w:type="dxa"/>
            <w:vAlign w:val="bottom"/>
          </w:tcPr>
          <w:p>
            <w:pPr>
              <w:spacing w:after="0"/>
              <w:rPr>
                <w:sz w:val="24"/>
                <w:szCs w:val="24"/>
                <w:color w:val="auto"/>
              </w:rPr>
            </w:pPr>
          </w:p>
        </w:tc>
        <w:tc>
          <w:tcPr>
            <w:tcW w:w="42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4480" w:type="dxa"/>
            <w:vAlign w:val="bottom"/>
          </w:tcPr>
          <w:p>
            <w:pPr>
              <w:spacing w:after="0"/>
              <w:rPr>
                <w:sz w:val="24"/>
                <w:szCs w:val="2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5880" w:type="dxa"/>
            <w:vAlign w:val="bottom"/>
            <w:gridSpan w:val="5"/>
          </w:tcPr>
          <w:p>
            <w:pPr>
              <w:spacing w:after="0"/>
              <w:rPr>
                <w:sz w:val="24"/>
                <w:szCs w:val="2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7"/>
              </w:rPr>
              <w:t>F-5</w:t>
            </w:r>
          </w:p>
        </w:tc>
      </w:tr>
      <w:tr>
        <w:trPr>
          <w:trHeight w:val="412"/>
        </w:trPr>
        <w:tc>
          <w:tcPr>
            <w:tcW w:w="40" w:type="dxa"/>
            <w:vAlign w:val="bottom"/>
          </w:tcPr>
          <w:p>
            <w:pPr>
              <w:spacing w:after="0"/>
              <w:rPr>
                <w:sz w:val="24"/>
                <w:szCs w:val="24"/>
                <w:color w:val="auto"/>
              </w:rPr>
            </w:pPr>
          </w:p>
        </w:tc>
        <w:tc>
          <w:tcPr>
            <w:tcW w:w="8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7"/>
              </w:rPr>
              <w:t>F-6</w:t>
            </w:r>
          </w:p>
        </w:tc>
      </w:tr>
      <w:tr>
        <w:trPr>
          <w:trHeight w:val="412"/>
        </w:trPr>
        <w:tc>
          <w:tcPr>
            <w:tcW w:w="40" w:type="dxa"/>
            <w:vAlign w:val="bottom"/>
          </w:tcPr>
          <w:p>
            <w:pPr>
              <w:spacing w:after="0"/>
              <w:rPr>
                <w:sz w:val="24"/>
                <w:szCs w:val="24"/>
                <w:color w:val="auto"/>
              </w:rPr>
            </w:pPr>
          </w:p>
        </w:tc>
        <w:tc>
          <w:tcPr>
            <w:tcW w:w="35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5180" w:type="dxa"/>
            <w:vAlign w:val="bottom"/>
            <w:gridSpan w:val="2"/>
          </w:tcPr>
          <w:p>
            <w:pPr>
              <w:spacing w:after="0"/>
              <w:rPr>
                <w:sz w:val="24"/>
                <w:szCs w:val="24"/>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8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00"/>
          </w:cols>
          <w:pgMar w:left="1320" w:top="540" w:right="1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MetaVia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MetaVia, Inc (the “Company”) as of December 31, 2024 and 2023, the related consolidated statements of operations, stockholders’ equity, and cash flows for each of the years then ended, and the related notes. In our opinion, the consolidated financial statements present fairly, in all material respects, the financial position of the Company at December 31, 2024 and 2023, and the results of its operations and its cash flows for each of the years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and negative cash flows from operations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Estimation of Clinical Trial Accrued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records clinical trial accrued liabilities for expenses associated with particular activities performed by contract research organizations, investigative sites in connection with clinical trials and contract manufacturing organizations. Expenses incurred for certain research and development activities</w:t>
      </w:r>
    </w:p>
    <w:p>
      <w:pPr>
        <w:sectPr>
          <w:pgSz w:w="11900" w:h="16838" w:orient="portrait"/>
          <w:cols w:equalWidth="0" w:num="1">
            <w:col w:w="9240"/>
          </w:cols>
          <w:pgMar w:left="1320" w:top="553" w:right="1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382270</wp:posOffset>
            </wp:positionV>
            <wp:extent cx="5880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53" w:right="1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recognized based on an evaluation of the progress or completion of specific tasks using either time-based measures or data such as information provided to the Company by its vendors on actual activities completed or costs incurred. As of December 31, 2024, the Company recorded $1.7 million of clinical trial accrued liabilities, which was included on the consolidated balance sheet.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identified the estimation of the clinical trial accrued liabilities as a critical audit matter. When estimating clinical trial accrued liabilities, the Company applies judgement in estimating the services received and the progress of activities performed by external vendors. Auditing these elements involved especially challenging auditor judgment due to the nature and extent of audit effort required to address this matter.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the critical audit matter included:</w:t>
      </w:r>
    </w:p>
    <w:p>
      <w:pPr>
        <w:spacing w:after="0" w:line="225" w:lineRule="exact"/>
        <w:rPr>
          <w:sz w:val="20"/>
          <w:szCs w:val="20"/>
          <w:color w:val="auto"/>
        </w:rPr>
      </w:pPr>
    </w:p>
    <w:p>
      <w:pPr>
        <w:ind w:left="840" w:hanging="328"/>
        <w:spacing w:after="0" w:line="282" w:lineRule="auto"/>
        <w:tabs>
          <w:tab w:leader="none" w:pos="8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contract research organizations, inspecting, on a sample basis, invoices received from, and payments made to such organizations in the development of the clinical trial accrued liabilities.</w:t>
      </w:r>
    </w:p>
    <w:p>
      <w:pPr>
        <w:spacing w:after="0" w:line="161" w:lineRule="exact"/>
        <w:rPr>
          <w:rFonts w:ascii="Times New Roman" w:cs="Times New Roman" w:eastAsia="Times New Roman" w:hAnsi="Times New Roman"/>
          <w:sz w:val="18"/>
          <w:szCs w:val="18"/>
          <w:color w:val="auto"/>
        </w:rPr>
      </w:pPr>
    </w:p>
    <w:p>
      <w:pPr>
        <w:jc w:val="both"/>
        <w:ind w:left="840" w:hanging="328"/>
        <w:spacing w:after="0" w:line="253" w:lineRule="auto"/>
        <w:tabs>
          <w:tab w:leader="none" w:pos="8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clinical trial studies, assessing the Company's estimates of the activities completed to date through (i) inspection of original contract terms, change orders and the expected timeline for the related study, (ii) discussion of the current status of the clinical trials with certain members of management and project teams (iii) confirmation of patient enrollment information (iv) confirmation of amounts due to certain closed clinical sites and (iv) evaluation of the payments made and the invoices received after December 31, 2024 for proper application in the determination of the accruals.</w:t>
      </w:r>
    </w:p>
    <w:p>
      <w:pPr>
        <w:spacing w:after="0" w:line="189" w:lineRule="exact"/>
        <w:rPr>
          <w:rFonts w:ascii="Times New Roman" w:cs="Times New Roman" w:eastAsia="Times New Roman" w:hAnsi="Times New Roman"/>
          <w:sz w:val="18"/>
          <w:szCs w:val="18"/>
          <w:color w:val="auto"/>
        </w:rPr>
      </w:pPr>
    </w:p>
    <w:p>
      <w:pPr>
        <w:ind w:left="840" w:hanging="328"/>
        <w:spacing w:after="0" w:line="282" w:lineRule="auto"/>
        <w:tabs>
          <w:tab w:leader="none" w:pos="8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of the Company’s clinical trial accruals by reviewing i) the Company’s press releases and public databases that track clinical trials and ii) board of directors’ materials regarding the status of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7, the Company entered into a financing transaction in June 2024 that included the issuance common stock and warrants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identified the accounting for the Offering, including the evaluation for the classification of the warrants as a critical audit matter. The application of the accounting guidance to the Offering is complex, and therefore, applying such guidance to the contract terms requires significant management judgment. Auditing these elements involved especially complex auditor judgment due to the nature of the terms of the financing transaction and the effort required to address these matters, including the use of firm personnel with expertise in technical accounting.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680" w:hanging="330"/>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agreements associated with the financing transaction and evaluating the completeness and accuracy of the Company’s technical accounting analysis and application of the relevant accounting literature.</w:t>
      </w:r>
    </w:p>
    <w:p>
      <w:pPr>
        <w:spacing w:after="0" w:line="161"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firm personnel with expertise in the relevant technical accounting to assist in evaluating i) the appropriateness of the Company’s application of the relevant technical accounting guidance and conclusions reached and ii) the classification of the related warrants in the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1">
            <w:col w:w="9240"/>
          </w:cols>
          <w:pgMar w:left="1320" w:top="55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382270</wp:posOffset>
            </wp:positionV>
            <wp:extent cx="5880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53" w:right="1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per share amounts)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16,017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16,072</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16,260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3,879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Clinical trial accrued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1,696</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785</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payable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1,472</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8,271</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liability, long-term</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8,329</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10,000 shares authorized and no</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issued or outstanding as of December 31, 2024 and 2023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100,000 shares authorized as of</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2023; 8,637 and 4,906 shares issued and outstanding as of</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143,779</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(135,857)</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7,931</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16,260</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553" w:right="1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21,553</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7,256</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28,809</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920</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8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1,217</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and comprehensive net loss</w:t>
            </w: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 of common stock, basic and diluted</w:t>
            </w:r>
          </w:p>
        </w:tc>
        <w:tc>
          <w:tcPr>
            <w:tcW w:w="1160" w:type="dxa"/>
            <w:vAlign w:val="bottom"/>
            <w:tcBorders>
              <w:bottom w:val="single" w:sz="8" w:color="auto"/>
            </w:tcBorders>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(3.56)</w:t>
            </w:r>
          </w:p>
        </w:tc>
        <w:tc>
          <w:tcPr>
            <w:tcW w:w="4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vMerge w:val="continue"/>
          </w:tcPr>
          <w:p>
            <w:pPr>
              <w:spacing w:after="0"/>
              <w:rPr>
                <w:sz w:val="17"/>
                <w:szCs w:val="17"/>
                <w:color w:val="auto"/>
              </w:rPr>
            </w:pPr>
          </w:p>
        </w:tc>
        <w:tc>
          <w:tcPr>
            <w:tcW w:w="5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basic and diluted</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7,757,128</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5,071,101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553" w:right="1319"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Additional</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Paid-In</w:t>
            </w:r>
          </w:p>
        </w:tc>
        <w:tc>
          <w:tcPr>
            <w:tcW w:w="120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Capital</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Deficit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Equity</w:t>
            </w: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3,179</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117,542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(95,795)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stock from exercise of warrants</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1,702</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7,181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for vested restricted stock units</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(12,470)</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4,906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124,945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(108,265)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w:t>
            </w:r>
          </w:p>
        </w:tc>
      </w:tr>
      <w:tr>
        <w:trPr>
          <w:trHeight w:val="184"/>
        </w:trPr>
        <w:tc>
          <w:tcPr>
            <w:tcW w:w="3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and warrants under the</w:t>
            </w: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purchase agreements, net of issuance costs</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 $1,960</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3,308</w:t>
            </w:r>
          </w:p>
        </w:tc>
        <w:tc>
          <w:tcPr>
            <w:tcW w:w="6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18,035</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placement agent warrants</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from exercise of warrants</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3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stock for vested restricted stock units,</w:t>
            </w: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4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shares withheld for withholding taxes</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3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(27,592)</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(27,592)</w:t>
            </w:r>
          </w:p>
        </w:tc>
      </w:tr>
      <w:tr>
        <w:trPr>
          <w:trHeight w:val="209"/>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8,637</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143,779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(135,857)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538</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3,058</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(24,710)</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warrants under the securities purchase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19,998</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issuance costs in connection with the securities purchase agreements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 employee withholding taxes related to shares withheld from issuance for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restricted stock units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18,300</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22,435</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16,017</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investing and financing transactions: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issued to placement agent</w:t>
            </w:r>
          </w:p>
        </w:tc>
        <w:tc>
          <w:tcPr>
            <w:tcW w:w="3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80" w:type="dxa"/>
            <w:vAlign w:val="bottom"/>
            <w:tcBorders>
              <w:bottom w:val="single" w:sz="8" w:color="auto"/>
            </w:tcBorders>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Reclassification of warrant liabilities upon exercise of warrants</w:t>
            </w:r>
          </w:p>
        </w:tc>
        <w:tc>
          <w:tcPr>
            <w:tcW w:w="38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0"/>
          </w:cols>
          <w:pgMar w:left="1320" w:top="513" w:right="1319" w:bottom="1440" w:gutter="0" w:footer="0" w:header="0"/>
        </w:sectPr>
      </w:pPr>
    </w:p>
    <w:bookmarkStart w:id="99" w:name="page100"/>
    <w:bookmarkEnd w:id="99"/>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ind w:left="1" w:right="860" w:hanging="1"/>
        <w:spacing w:after="0" w:line="417" w:lineRule="auto"/>
        <w:tabs>
          <w:tab w:leader="none" w:pos="32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basis of presentation, new accounting standards and summary of significant accounting policies General</w:t>
      </w:r>
    </w:p>
    <w:p>
      <w:pPr>
        <w:jc w:val="both"/>
        <w:ind w:left="1"/>
        <w:spacing w:after="0" w:line="256" w:lineRule="auto"/>
        <w:rPr>
          <w:sz w:val="20"/>
          <w:szCs w:val="20"/>
          <w:color w:val="auto"/>
        </w:rPr>
      </w:pPr>
      <w:r>
        <w:rPr>
          <w:rFonts w:ascii="Times New Roman" w:cs="Times New Roman" w:eastAsia="Times New Roman" w:hAnsi="Times New Roman"/>
          <w:sz w:val="18"/>
          <w:szCs w:val="18"/>
          <w:color w:val="auto"/>
        </w:rPr>
        <w:t xml:space="preserve">MetaVia Inc. (the “Company”), a Delaware corporation, and its subsidiaries are referred to collectively in these notes to the financial statements of the Company as “MetaVia,” “we,” “our” and “us.” Prior to the Company’s </w:t>
      </w:r>
      <w:r>
        <w:rPr>
          <w:rFonts w:ascii="Times New Roman" w:cs="Times New Roman" w:eastAsia="Times New Roman" w:hAnsi="Times New Roman"/>
          <w:sz w:val="18"/>
          <w:szCs w:val="18"/>
          <w:color w:val="212529"/>
        </w:rPr>
        <w:t>legal name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November 2024, </w:t>
      </w:r>
      <w:r>
        <w:rPr>
          <w:rFonts w:ascii="Times New Roman" w:cs="Times New Roman" w:eastAsia="Times New Roman" w:hAnsi="Times New Roman"/>
          <w:sz w:val="18"/>
          <w:szCs w:val="18"/>
          <w:color w:val="000000"/>
        </w:rPr>
        <w:t>the Company was formerly known as NeuroBo Pharmaceuticals, Inc. We are a clinical-stage biotechnology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focused primarily on developing novel pharmaceuticals to treat cardiometabolic diseases. MetaVia has two programs focused primarily on the treatment of metabolic dysfunction-associated steatohepatitis (“MASH”) and obesity, DA-1241 and DA-1726.</w:t>
      </w:r>
    </w:p>
    <w:p>
      <w:pPr>
        <w:spacing w:after="0" w:line="106" w:lineRule="exact"/>
        <w:rPr>
          <w:sz w:val="20"/>
          <w:szCs w:val="20"/>
          <w:color w:val="auto"/>
        </w:rPr>
      </w:pPr>
    </w:p>
    <w:p>
      <w:pPr>
        <w:jc w:val="both"/>
        <w:ind w:left="1"/>
        <w:spacing w:after="0" w:line="257" w:lineRule="auto"/>
        <w:rPr>
          <w:sz w:val="20"/>
          <w:szCs w:val="20"/>
          <w:color w:val="auto"/>
        </w:rPr>
      </w:pPr>
      <w:r>
        <w:rPr>
          <w:rFonts w:ascii="Times New Roman" w:cs="Times New Roman" w:eastAsia="Times New Roman" w:hAnsi="Times New Roman"/>
          <w:sz w:val="18"/>
          <w:szCs w:val="18"/>
          <w:color w:val="212529"/>
        </w:rPr>
        <w:t>While we primarily focus our financial resources and management’s attention on the development of DA-1241 and DA-1726, we also have four legacy therapeutic programs designed to impact a range of indications in viral, neurodegenerative and cardiometabolic diseases which we are not planning to advance development on and have, or continue to consider for, out-licensing and divestiture opportunities. In July 2024, we entered into an exclusive out-license agreement with MThera Pharma Co., LTD. (“MThera”) to provide MThera with the rights to NB-01 for the treatment of painful diabetic neuropathy.</w:t>
      </w:r>
    </w:p>
    <w:p>
      <w:pPr>
        <w:spacing w:after="0" w:line="323"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212529"/>
        </w:rPr>
        <w:t>Our operations have consisted principally of performing research and development (“R&amp;D”) activities, which include preclinical developments and clinical trials, and raising capital. Our activities are subject to significant risks and uncertainties, including failing to secure additional funding before sustainable revenues and profit from operations are achieved.</w:t>
      </w:r>
    </w:p>
    <w:p>
      <w:pPr>
        <w:spacing w:after="0" w:line="9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6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212529"/>
        </w:rPr>
        <w:t>As reflected in the consolidated financial statements, we had $16.0 million in cash as of December 31, 2024. We have experienced net losses and negative cash flows from operating activities since our inception and had an accumulated deficit of $135.9 million as of December 31, 2024. We have incurred a net loss of $27.6 million and net cash used in operating activities of $24.7 million for the year ended December 31, 2024. Due in large part to the ongoing Phase 2a clinical trial for DA-1241 and Phase 1 clinical trial for DA-1726, we expect to continue to incur net losses and negative cash flows from operating activities for the foreseeable future. These conditions raise substantial doubt about our ability to continue as a going concern within one year from the issuance of these consolidated financial statements.</w:t>
      </w:r>
    </w:p>
    <w:p>
      <w:pPr>
        <w:spacing w:after="0" w:line="106"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212529"/>
        </w:rPr>
        <w:t>We plan to continue to fund our operations from equity offerings, debt financing, or other sources, potentially including collaborations, out-licensing and other similar arrangements. However, there can be no assurance that we will be able to obtain any sources of financing on acceptable terms, or at all, or that the Series A Warrants will be exercised. To the extent that we can raise additional funds by issuing equity securities or in the event our existing warrants are exercised, our stockholders may experience significant dilution. Any debt financing, if available, 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us.</w:t>
      </w:r>
    </w:p>
    <w:p>
      <w:pPr>
        <w:spacing w:after="0" w:line="108"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The determination as to whether we can continue as a going concern contemplates the realization of assets and the satisfaction of liabilities in the normal course of business. Our consolidated financial statements 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spacing w:after="0" w:line="98" w:lineRule="exact"/>
        <w:rPr>
          <w:sz w:val="20"/>
          <w:szCs w:val="20"/>
          <w:color w:val="auto"/>
        </w:rPr>
      </w:pPr>
    </w:p>
    <w:p>
      <w:pPr>
        <w:ind w:left="1"/>
        <w:spacing w:after="0"/>
        <w:tabs>
          <w:tab w:leader="none" w:pos="301"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62"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include a South Korean wholly owned subsidiary, which was dissolved and liquidated in June 2023. The accompanying financial statements were prepared in conformity with accounting principles generally accepted in the United States of America (“GAAP”). Our fiscal year-end is as of and for the year ended December 31st for each year presented. All significant intercompany accounts and transactions have been eliminated in the preparation of the financial statements.</w:t>
      </w:r>
    </w:p>
    <w:p>
      <w:pPr>
        <w:spacing w:after="0" w:line="116" w:lineRule="exact"/>
        <w:rPr>
          <w:sz w:val="20"/>
          <w:szCs w:val="20"/>
          <w:color w:val="auto"/>
        </w:rPr>
      </w:pPr>
    </w:p>
    <w:p>
      <w:pPr>
        <w:ind w:left="321" w:right="6140" w:hanging="321"/>
        <w:spacing w:after="0" w:line="417" w:lineRule="auto"/>
        <w:tabs>
          <w:tab w:leader="none" w:pos="321"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standards </w:t>
      </w:r>
      <w:r>
        <w:rPr>
          <w:rFonts w:ascii="Times New Roman" w:cs="Times New Roman" w:eastAsia="Times New Roman" w:hAnsi="Times New Roman"/>
          <w:sz w:val="18"/>
          <w:szCs w:val="18"/>
          <w:i w:val="1"/>
          <w:iCs w:val="1"/>
          <w:color w:val="auto"/>
        </w:rPr>
        <w:t>Adoption of new accounting standards</w:t>
      </w:r>
    </w:p>
    <w:p>
      <w:pPr>
        <w:ind w:left="1"/>
        <w:spacing w:after="0" w:line="26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improve disclosure requirements</w:t>
      </w:r>
    </w:p>
    <w:p>
      <w:pPr>
        <w:sectPr>
          <w:pgSz w:w="11900" w:h="16838" w:orient="portrait"/>
          <w:cols w:equalWidth="0" w:num="1">
            <w:col w:w="9241"/>
          </w:cols>
          <w:pgMar w:left="1319" w:top="513" w:right="1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382270</wp:posOffset>
            </wp:positionV>
            <wp:extent cx="5880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about reportable segments and address requests from investors for additional, more detailed information about a reportable segment’s expenses. This ASU requires that a public entity that has a single reportable segment provide all the disclosures required by the amendments in this ASU and all existing segment disclosures in Topic 280. Additionally, this ASU requires disclosures of significant segment expenses provided to the Chief Operating Decision Maker ("CODM") and included in reported measures of segment profit and loss. Disclosure of the title and position of the CODM is required. This ASU requires interim and annual disclosures about a reportable segment's profit or loss and assets. Furthermore, this ASU requires disclosure of other segment items by reportable segment including a description of its composition. This ASU is effective for fiscal years beginning after December 15, 2023, and interim periods within fiscal years beginning after December 15, 2024, on a retrospective basis. We adopted ASU 2023-07 in 2024. See below I. Segment reporting and Note 8. Significant segment expenses for additional information.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new accounting standards or accounting standards updates were assessed and determined to be either not applicable or did not have a material impact on our consolidated financial statements or processes.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212529"/>
        </w:rPr>
        <w:t>In December 2023, the FASB issued ASU 2023-09, Income Taxes (Topic 740): Improvements to Income Tax Disclosures to improve the transparency of income tax disclosures by amending the required rate reconciliation disclosures as well as requiring disclosure of income taxes paid disaggregated by jurisdiction. As amended, the rate reconciliation disclosure will be required to be presented in both percentages and reporting currency amounts, with consistent categories and greater disaggregation of information. This ASU also includes amendments intended to improve the effectiveness of income tax disclosures and eliminate certain existing disclosure requirements related to uncertain tax positions and unrecognized deferred tax liabilities. This ASU is effective for fiscal years beginning after December 15, 2024 and should be applied prospectively. Early adoption is permitted. We are currently evaluating the impact of adopting this ASU to our notes to the consolidated financial statements and processes.</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November 2024, the FASB issued ASU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financial statements at interim and annual reporting periods. The amendments in this ASU do not change or remove current expense disclosure requirements; however, the amendments affect where such information appears in the notes to financial statements because entities are required to include certain current disclosures in the same tabular format disclosure as the other disaggregation requirements in the amendments. In January 2025, the FASB issued ASU 225-01, Income Statement-Reporting Comprehensive Income-Expense Disaggregation Disclosures (Subtopic 220-40): Clarifying the Effective Date. This ASU is effective for annual reporting periods beginning after December 15, 2026, and interim reporting periods within annual reporting period beginning after December 15, 2027. Early adoption is permitted. We are currently evaluating the impact of adopting this ASU to our notes to the consolidated financial statements and processes.</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Other recently issued accounting standards not yet adopted by us are not expected, upon adoption, to have a material impact on our consolidated financial statements.</w:t>
      </w:r>
    </w:p>
    <w:p>
      <w:pPr>
        <w:spacing w:after="0" w:line="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Estimates and assumptions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expenses, and related disclosure of contingent assets and liabilities at the date of the consolidated financial statements and the reported amounts of expenses during the reporting period. The most significant estimates in our consolidated financial statements relate to clinical trial costs and accruals, classification of warrants as derivative liability or equity,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1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tab/>
        <w:t>Cash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cash at financial institutions that at times may exceed the Federal Deposit Insurance Corporation (“FDIC”) insured limits of $0.25 million per bank. Our cash balance includes liquid insured deposits, which are obligations of the banks in which the deposits are held and qualify for FDIC insurance protection per depositor in each recognized legal category of account ownership in accordance with the rules of the FDIC. To date, we have not experienced any losses related to these funds.</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382270</wp:posOffset>
            </wp:positionV>
            <wp:extent cx="5880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01" w:name="page102"/>
    <w:bookmarkEnd w:id="101"/>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1"/>
        <w:spacing w:after="0"/>
        <w:tabs>
          <w:tab w:leader="none" w:pos="301"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16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Property and equipment are recorded at cost and reduced by accumulated depreciation. Depreciation expense is recognized over the estimated useful lives of the assets using the straight-line method. The estimated useful life for property and equipment ranges from three to five years. Tangible assets acquired for R&amp;D activities and that have an alternative use are capitalized over the useful life of the acquired asset. Estimated useful lives are periodically reviewed, and when appropriate, changes are made prospectively. When certain events or changes in operating conditions occur, asset lives may be adjusted and an impairment assessment may be performed on the recoverability of the carrying amounts. Maintenance and repairs are charged directly to expense as incurred.</w:t>
      </w:r>
    </w:p>
    <w:p>
      <w:pPr>
        <w:spacing w:after="0" w:line="102" w:lineRule="exact"/>
        <w:rPr>
          <w:sz w:val="20"/>
          <w:szCs w:val="20"/>
          <w:color w:val="auto"/>
        </w:rPr>
      </w:pPr>
    </w:p>
    <w:p>
      <w:pPr>
        <w:ind w:left="321" w:hanging="321"/>
        <w:spacing w:after="0"/>
        <w:tabs>
          <w:tab w:leader="none" w:pos="321"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We assess our contracts at inception to determine whether the contract contains a lease, including evaluation of whether the contract conveys the right to control an explicitly or implicitly identified asset for a period of time. We have recognized right-of-use assets and lease liabilities that represent the net present value of future operating lease payments utilizing a discount rate corresponding to our incremental borrowing rate and amortized over the remaining terms of the leases. For operating leases of a short-term nature, i.e., those with a term of less than twelve months, we recognize lease payments as an expense on a straight-line basis over the remaining lease term.</w:t>
      </w:r>
    </w:p>
    <w:p>
      <w:pPr>
        <w:spacing w:after="0" w:line="11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G.  Warrant liabilities</w:t>
      </w:r>
    </w:p>
    <w:p>
      <w:pPr>
        <w:spacing w:after="0" w:line="148"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Warrants are accounted for as liabilities at their fair value if equity accounting treatment is precluded due to provisions existing within the warrant agreements. The change in fair value of the warrant liabilities is recognized as a fair value change in warrant liabilities in the consolidated statements of operations and as an operating item in the statement of cash flows. Additionally, issuance costs associated with warrants initially classified as liabilities are expensed as incurred and reflected as financing costs in the accompanying consolidated statements of operations.</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H.  Fair value of financial instruments</w:t>
      </w:r>
    </w:p>
    <w:p>
      <w:pPr>
        <w:spacing w:after="0" w:line="162"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Our financial instruments principally include cash, prepaid expenses, right of use assets, accounts payable, accrued liabilities, lease liabilities and warrant liabilities. The carrying amounts of cash, prepaid expenses and other current assets, accounts payable, and accrued liabilities are reasonable estimates of their fair value because of the short maturity of these items.</w:t>
      </w:r>
    </w:p>
    <w:p>
      <w:pPr>
        <w:spacing w:after="0" w:line="111" w:lineRule="exact"/>
        <w:rPr>
          <w:sz w:val="20"/>
          <w:szCs w:val="20"/>
          <w:color w:val="auto"/>
        </w:rPr>
      </w:pPr>
    </w:p>
    <w:p>
      <w:pPr>
        <w:ind w:left="321" w:hanging="321"/>
        <w:spacing w:after="0"/>
        <w:tabs>
          <w:tab w:leader="none" w:pos="321"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56"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We manage and operate as one reportable segment, which is principally the business of development of pharmaceutical products, with one geographic location. We do not operate separate lines of business with respect each pharmaceutical product being studied in a clinical environment, and we do not prepare discrete financial information with respect to our pharmaceutical products. Our CODM is our chief executive officer. The measure of performance used by the CODM to assess segment performance is reported on the consolidated statements of operations as loss from operations and net loss. Since the Company only have one reportable segment, our CODM does not need to decide on how to allocate resources between segments. The measure of segment assets is reported on the consolidated balance sheets as total assets.</w:t>
      </w:r>
    </w:p>
    <w:p>
      <w:pPr>
        <w:spacing w:after="0" w:line="212" w:lineRule="exact"/>
        <w:rPr>
          <w:sz w:val="20"/>
          <w:szCs w:val="20"/>
          <w:color w:val="auto"/>
        </w:rPr>
      </w:pPr>
    </w:p>
    <w:p>
      <w:pPr>
        <w:ind w:left="321" w:hanging="321"/>
        <w:spacing w:after="0"/>
        <w:tabs>
          <w:tab w:leader="none" w:pos="321"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62"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R&amp;D expenditures for clinical development, including upfront licensing fees and milestone payments associated with products that have not yet been approved by the United States Food and Drug Administration, are charged to R&amp;D expense as incurred. These expenses consist of costs incurred in performing development activities, including salaries and benefits, equity-based compensation expense, preclinical expenses, clinical trial and related clinical manufacturing expenses, contract services and other outside expenses.</w:t>
      </w:r>
    </w:p>
    <w:p>
      <w:pPr>
        <w:spacing w:after="0" w:line="120"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18"/>
          <w:szCs w:val="18"/>
          <w:color w:val="auto"/>
        </w:rPr>
        <w:t>Expenses incurred for certain R&amp;D activities, including expenses associated with particular activities performed by contract research organizations, investigative sites in connection with clinical trials and contract manufacturing organizations, are recognized based on an evaluation of the progress or completion of specific tasks using either time-based measures or data such as information provided to us by our vendors on actual activities completed or costs incurred. Payments for these activities are based on the terms of the individual arrangements, which may differ from the pattern of expense recognition. Expenses for R&amp;D activities incurred that have yet to be invoiced by the vendors that perform the related activities are reflected as clinical trial accrued liabilities in the accompanying consolidated financial statements. Advance payments, if any, for goods or services to be received in the future for R&amp;D activities are deferred and capitalized as prepaid expenses and other current assets in the</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58807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accompanying consolidated balance sheets. The capitalized amounts are expensed as the related goods are delivered or the services are performed.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Acquired in-process research and development</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include costs to acquire or in-license product candidates in acquired in-process R&amp;D (“IPR&amp;D”). When we acquire the right to develop and commercialize a new product candidate, any up-front payments, or any future milestone payments that relate to the acquisition or licensing of such a right are immediately expensed as acquired IPR&amp;D in the period in which they are incurred. These costs are immediately expensed provided that the payments do not also represent processes or activities that would constitute a “business” as defined under GAAP, or provided that the product candidate has not achieved regulatory approval for marketing and absent obtaining such approval, has no alternative future use. Royalties owed on future sales of any licensed product will be expensed in the period the related revenues are recognized.</w:t>
      </w:r>
    </w:p>
    <w:p>
      <w:pPr>
        <w:spacing w:after="0" w:line="1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L.</w:t>
        <w:tab/>
        <w:t>General and administrative expenses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and stock-based compensation costs, for personnel in functions not directly associated with R&amp;D activities. Other significant costs include legal fees related to intellectual property and corporate matters and professional fees for accounting and other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Patent costs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These costs are included in general and administrative expenses.</w:t>
      </w:r>
    </w:p>
    <w:p>
      <w:pPr>
        <w:spacing w:after="0" w:line="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N.</w:t>
        <w:tab/>
        <w:t>Stock-based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costs related to equity instruments granted are recognized at the grant-date fair value, which is amortized as compensation expense on a straight-line basis over the requisite service period (generally, the vesting period) for both graded and cliff vesting awards. We have elected to account for forfeitures as they occur.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Income taxes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policy is to recognize both interest and penalties related to uncertain tax positions as part of the income tax provision. A significant judgment is required in evaluating our tax positions, and in determining our provisions for income taxes, our deferred tax assets and liabilities and any valuation allowance recorded against our net deferred tax assets. We establish reserves when,</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03" w:name="page104"/>
    <w:bookmarkEnd w:id="103"/>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ind w:left="1"/>
        <w:spacing w:after="0" w:line="282" w:lineRule="auto"/>
        <w:rPr>
          <w:sz w:val="20"/>
          <w:szCs w:val="20"/>
          <w:color w:val="auto"/>
        </w:rPr>
      </w:pPr>
      <w:r>
        <w:rPr>
          <w:rFonts w:ascii="Times New Roman" w:cs="Times New Roman" w:eastAsia="Times New Roman" w:hAnsi="Times New Roman"/>
          <w:sz w:val="18"/>
          <w:szCs w:val="18"/>
          <w:color w:val="auto"/>
        </w:rPr>
        <w:t>despite our belief that the income tax return positions are fully supportable, certain positions are likely to be challenged and we may ultimately not prevail in defending those positions.</w:t>
      </w:r>
    </w:p>
    <w:p>
      <w:pPr>
        <w:spacing w:after="0" w:line="90" w:lineRule="exact"/>
        <w:rPr>
          <w:sz w:val="20"/>
          <w:szCs w:val="20"/>
          <w:color w:val="auto"/>
        </w:rPr>
      </w:pPr>
    </w:p>
    <w:p>
      <w:pPr>
        <w:ind w:left="321" w:hanging="321"/>
        <w:spacing w:after="0"/>
        <w:tabs>
          <w:tab w:leader="none" w:pos="321"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148"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18"/>
          <w:szCs w:val="18"/>
          <w:color w:val="auto"/>
        </w:rPr>
        <w:t>Our foreign subsidiary, dissolved and liquidated in June 2023, used the South Korean Won (KRW) as its functional currency. We translated the assets and liabilities of our foreign operation into United States (“U.S.”) dollars based on the rates of exchange in effect as of the transaction date. The resulting adjustments from the translation process are included in accumulated other comprehensive (loss) income in the accompanying consolidated balance sheets.</w:t>
      </w:r>
    </w:p>
    <w:p>
      <w:pPr>
        <w:spacing w:after="0" w:line="99"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Certain transactions are settled in foreign currency and are thus translated to U.S. dollars at the rate of exchange in effect at the end of each month. Gains and losses resulting from the translation are included in other income or expense in the accompanying consolidated statements of operations.</w:t>
      </w:r>
    </w:p>
    <w:p>
      <w:pPr>
        <w:spacing w:after="0" w:line="9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Q.  Comprehensive loss</w:t>
      </w:r>
    </w:p>
    <w:p>
      <w:pPr>
        <w:spacing w:after="0" w:line="162"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or loss. Comprehensive loss includes net loss as well as other changes in stockholders' equity that result from transactions and economic events other than those with stockholders. Comprehensive loss currently consists of net loss and changes in foreign currency translation adjustments.</w:t>
      </w:r>
    </w:p>
    <w:p>
      <w:pPr>
        <w:spacing w:after="0" w:line="91" w:lineRule="exact"/>
        <w:rPr>
          <w:sz w:val="20"/>
          <w:szCs w:val="20"/>
          <w:color w:val="auto"/>
        </w:rPr>
      </w:pPr>
    </w:p>
    <w:p>
      <w:pPr>
        <w:ind w:left="1"/>
        <w:spacing w:after="0"/>
        <w:tabs>
          <w:tab w:leader="none" w:pos="301" w:val="left"/>
        </w:tabs>
        <w:rPr>
          <w:sz w:val="20"/>
          <w:szCs w:val="20"/>
          <w:color w:val="auto"/>
        </w:rPr>
      </w:pP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7"/>
          <w:szCs w:val="17"/>
          <w:b w:val="1"/>
          <w:bCs w:val="1"/>
          <w:color w:val="auto"/>
        </w:rPr>
        <w:t>Loss per share of common stock</w:t>
      </w:r>
    </w:p>
    <w:p>
      <w:pPr>
        <w:spacing w:after="0" w:line="162" w:lineRule="exact"/>
        <w:rPr>
          <w:sz w:val="20"/>
          <w:szCs w:val="20"/>
          <w:color w:val="auto"/>
        </w:rPr>
      </w:pPr>
    </w:p>
    <w:p>
      <w:pPr>
        <w:jc w:val="both"/>
        <w:ind w:left="1"/>
        <w:spacing w:after="0" w:line="250" w:lineRule="auto"/>
        <w:rPr>
          <w:sz w:val="20"/>
          <w:szCs w:val="20"/>
          <w:color w:val="auto"/>
        </w:rPr>
      </w:pPr>
      <w:r>
        <w:rPr>
          <w:rFonts w:ascii="Times New Roman" w:cs="Times New Roman" w:eastAsia="Times New Roman" w:hAnsi="Times New Roman"/>
          <w:sz w:val="18"/>
          <w:szCs w:val="18"/>
          <w:color w:val="auto"/>
        </w:rPr>
        <w:t>Basic earnings or loss per share of common stock is computed by dividing net income or loss available to stockholders of common stock by the weighted average number of shares of common stock. Diluted earnings per share of common stock is computed by dividing net income or loss available to stockholders of common stock by the sum of the weighted average number of shares of common stock and the number of additional shares of common stock that would have been outstanding if our outstanding potentially dilutive securities had been issued. Potentially dilutive securities include convertible preferred stock, outstanding stock options, non-vested restricted stock units (“RSUs”) and outstanding warrants. The dilutive effect of potentially dilutive securities is reflected in diluted earnings per share of common stock by application of the treasury stock method, except if its impact is anti-dilutive. Under the treasury stock method, an increase in the fair market value of our common stock can result in a greater dilutive effect from potentially dilutive securities. For additional information, see Note 10. Loss per share of common stock.</w:t>
      </w:r>
    </w:p>
    <w:p>
      <w:pPr>
        <w:spacing w:after="0" w:line="121" w:lineRule="exact"/>
        <w:rPr>
          <w:sz w:val="20"/>
          <w:szCs w:val="20"/>
          <w:color w:val="auto"/>
        </w:rPr>
      </w:pPr>
    </w:p>
    <w:p>
      <w:pPr>
        <w:ind w:left="321" w:right="7740" w:hanging="321"/>
        <w:spacing w:after="0" w:line="417" w:lineRule="auto"/>
        <w:tabs>
          <w:tab w:leader="none" w:pos="321"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Concentrations </w:t>
      </w:r>
      <w:r>
        <w:rPr>
          <w:rFonts w:ascii="Times New Roman" w:cs="Times New Roman" w:eastAsia="Times New Roman" w:hAnsi="Times New Roman"/>
          <w:sz w:val="18"/>
          <w:szCs w:val="18"/>
          <w:i w:val="1"/>
          <w:iCs w:val="1"/>
          <w:color w:val="auto"/>
        </w:rPr>
        <w:t>Credit Risk</w:t>
      </w: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of cash. As of December 31, 2024, our cash is held by one financial institution in the U.S., and we believe that the financial institution is financially sound. Accordingly, minimal credit risk exists with the financial institution.</w:t>
      </w:r>
    </w:p>
    <w:p>
      <w:pPr>
        <w:spacing w:after="0" w:line="93"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i w:val="1"/>
          <w:iCs w:val="1"/>
          <w:color w:val="auto"/>
        </w:rPr>
        <w:t>Supplier Risk</w:t>
      </w:r>
    </w:p>
    <w:p>
      <w:pPr>
        <w:spacing w:after="0" w:line="160"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In 2022, we entered into an exclusive license agreement (the “2022 License Agreement”) with Dong-A ST Co., Ltd. (“Dong-A”), a related party, which requires Dong-A to be the sole manufacturer for the production of DA-1241 and DA-1726. If any issues arise in the manufacturing and we are unable to arrange for alternative third-party manufacturing sources, or unable to find an alternative third party capable of reproducing the existing manufacturing method or unable to do so on commercially reasonable terms or in a timely manner, we may not be able to complete the development of DA-1241 or DA-1726.</w:t>
      </w:r>
    </w:p>
    <w:p>
      <w:pPr>
        <w:spacing w:after="0" w:line="116" w:lineRule="exact"/>
        <w:rPr>
          <w:sz w:val="20"/>
          <w:szCs w:val="20"/>
          <w:color w:val="auto"/>
        </w:rPr>
      </w:pPr>
    </w:p>
    <w:p>
      <w:pPr>
        <w:ind w:left="1"/>
        <w:spacing w:after="0"/>
        <w:tabs>
          <w:tab w:leader="none" w:pos="301" w:val="left"/>
        </w:tabs>
        <w:rPr>
          <w:sz w:val="20"/>
          <w:szCs w:val="20"/>
          <w:color w:val="auto"/>
        </w:rPr>
      </w:pPr>
      <w:r>
        <w:rPr>
          <w:rFonts w:ascii="Times New Roman" w:cs="Times New Roman" w:eastAsia="Times New Roman" w:hAnsi="Times New Roman"/>
          <w:sz w:val="18"/>
          <w:szCs w:val="18"/>
          <w:b w:val="1"/>
          <w:bCs w:val="1"/>
          <w:color w:val="auto"/>
        </w:rPr>
        <w:t>T.</w:t>
      </w:r>
      <w:r>
        <w:rPr>
          <w:sz w:val="20"/>
          <w:szCs w:val="20"/>
          <w:color w:val="auto"/>
        </w:rPr>
        <w:tab/>
      </w:r>
      <w:r>
        <w:rPr>
          <w:rFonts w:ascii="Times New Roman" w:cs="Times New Roman" w:eastAsia="Times New Roman" w:hAnsi="Times New Roman"/>
          <w:sz w:val="17"/>
          <w:szCs w:val="17"/>
          <w:b w:val="1"/>
          <w:bCs w:val="1"/>
          <w:color w:val="auto"/>
        </w:rPr>
        <w:t>Loss contingencies</w:t>
      </w:r>
    </w:p>
    <w:p>
      <w:pPr>
        <w:spacing w:after="0" w:line="148"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should be accrued. However, if no amount within the range is a better estimate, the minimum amount in the range should be accrued.</w:t>
      </w:r>
    </w:p>
    <w:p>
      <w:pPr>
        <w:spacing w:after="0" w:line="102"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When a loss is reasonably possible (the chance of the future event or events occurring is more than remote but less than likely), no accrual is recognized.</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58807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04" w:name="page105"/>
    <w:bookmarkEnd w:id="104"/>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1"/>
        <w:spacing w:after="0"/>
        <w:tabs>
          <w:tab w:leader="none" w:pos="301" w:val="left"/>
        </w:tabs>
        <w:rPr>
          <w:sz w:val="20"/>
          <w:szCs w:val="20"/>
          <w:color w:val="auto"/>
        </w:rPr>
      </w:pPr>
      <w:r>
        <w:rPr>
          <w:rFonts w:ascii="Times New Roman" w:cs="Times New Roman" w:eastAsia="Times New Roman" w:hAnsi="Times New Roman"/>
          <w:sz w:val="18"/>
          <w:szCs w:val="18"/>
          <w:b w:val="1"/>
          <w:bCs w:val="1"/>
          <w:color w:val="auto"/>
        </w:rPr>
        <w:t>U.</w:t>
      </w:r>
      <w:r>
        <w:rPr>
          <w:sz w:val="20"/>
          <w:szCs w:val="20"/>
          <w:color w:val="auto"/>
        </w:rPr>
        <w:tab/>
      </w:r>
      <w:r>
        <w:rPr>
          <w:rFonts w:ascii="Times New Roman" w:cs="Times New Roman" w:eastAsia="Times New Roman" w:hAnsi="Times New Roman"/>
          <w:sz w:val="17"/>
          <w:szCs w:val="17"/>
          <w:b w:val="1"/>
          <w:bCs w:val="1"/>
          <w:color w:val="auto"/>
        </w:rPr>
        <w:t>Reclassification of prior year presentation</w:t>
      </w:r>
    </w:p>
    <w:p>
      <w:pPr>
        <w:spacing w:after="0" w:line="162"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Adjustments have been made to the consolidated balance sheets to reclassify the presentation of certain current liabilities related to clinical trial accrued liabilities of $3.0 million and related party payable of $0.8 million from accrued expenses and other current liabilities. These reclassifications had no effect on the reported total current liabilities in the consolidated balance sheets.</w:t>
      </w:r>
    </w:p>
    <w:p>
      <w:pPr>
        <w:spacing w:after="0" w:line="183" w:lineRule="exact"/>
        <w:rPr>
          <w:sz w:val="20"/>
          <w:szCs w:val="20"/>
          <w:color w:val="auto"/>
        </w:rPr>
      </w:pPr>
    </w:p>
    <w:p>
      <w:pPr>
        <w:ind w:left="321" w:hanging="321"/>
        <w:spacing w:after="0"/>
        <w:tabs>
          <w:tab w:leader="none" w:pos="321"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158"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As of December 31,</w:t>
            </w:r>
          </w:p>
        </w:tc>
        <w:tc>
          <w:tcPr>
            <w:tcW w:w="360" w:type="dxa"/>
            <w:vAlign w:val="bottom"/>
            <w:tcBorders>
              <w:bottom w:val="single" w:sz="8" w:color="auto"/>
            </w:tcBorders>
          </w:tcPr>
          <w:p>
            <w:pPr>
              <w:spacing w:after="0"/>
              <w:rPr>
                <w:sz w:val="20"/>
                <w:szCs w:val="20"/>
                <w:color w:val="auto"/>
              </w:rPr>
            </w:pPr>
          </w:p>
        </w:tc>
      </w:tr>
      <w:tr>
        <w:trPr>
          <w:trHeight w:val="210"/>
        </w:trPr>
        <w:tc>
          <w:tcPr>
            <w:tcW w:w="9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40" w:type="dxa"/>
            <w:vAlign w:val="bottom"/>
          </w:tcPr>
          <w:p>
            <w:pPr>
              <w:spacing w:after="0"/>
              <w:rPr>
                <w:sz w:val="18"/>
                <w:szCs w:val="18"/>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9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9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43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9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As of December 31,</w:t>
            </w:r>
          </w:p>
        </w:tc>
        <w:tc>
          <w:tcPr>
            <w:tcW w:w="360" w:type="dxa"/>
            <w:vAlign w:val="bottom"/>
            <w:tcBorders>
              <w:bottom w:val="single" w:sz="8" w:color="auto"/>
            </w:tcBorders>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9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9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
        <w:spacing w:after="0" w:line="282" w:lineRule="auto"/>
        <w:rPr>
          <w:sz w:val="20"/>
          <w:szCs w:val="20"/>
          <w:color w:val="auto"/>
        </w:rPr>
      </w:pPr>
      <w:r>
        <w:rPr>
          <w:rFonts w:ascii="Times New Roman" w:cs="Times New Roman" w:eastAsia="Times New Roman" w:hAnsi="Times New Roman"/>
          <w:sz w:val="18"/>
          <w:szCs w:val="18"/>
          <w:color w:val="auto"/>
        </w:rPr>
        <w:t>We recorded depreciation expense of $20 thousand and $6 thousand for 2024 and 2023, respectively, which was included in general and administrative operating expenses in the accompanying consolidated statements of operations.</w:t>
      </w:r>
    </w:p>
    <w:p>
      <w:pPr>
        <w:spacing w:after="0" w:line="171" w:lineRule="exact"/>
        <w:rPr>
          <w:sz w:val="20"/>
          <w:szCs w:val="20"/>
          <w:color w:val="auto"/>
        </w:rPr>
      </w:pPr>
    </w:p>
    <w:p>
      <w:pPr>
        <w:ind w:left="1"/>
        <w:spacing w:after="0"/>
        <w:tabs>
          <w:tab w:leader="none" w:pos="301" w:val="left"/>
        </w:tabs>
        <w:rPr>
          <w:sz w:val="20"/>
          <w:szCs w:val="20"/>
          <w:color w:val="auto"/>
        </w:rPr>
      </w:pPr>
      <w:r>
        <w:rPr>
          <w:rFonts w:ascii="Times New Roman" w:cs="Times New Roman" w:eastAsia="Times New Roman" w:hAnsi="Times New Roman"/>
          <w:sz w:val="18"/>
          <w:szCs w:val="18"/>
          <w:b w:val="1"/>
          <w:bCs w:val="1"/>
          <w:color w:val="auto"/>
        </w:rPr>
        <w:t>4.</w:t>
        <w:tab/>
        <w:t>Current liabilities</w:t>
      </w:r>
    </w:p>
    <w:p>
      <w:pPr>
        <w:spacing w:after="0" w:line="160"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4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71"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9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9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costs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713</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9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9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9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9"/>
        </w:trPr>
        <w:tc>
          <w:tcPr>
            <w:tcW w:w="9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785</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0"/>
        </w:trPr>
        <w:tc>
          <w:tcPr>
            <w:tcW w:w="9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45"/>
        </w:trPr>
        <w:tc>
          <w:tcPr>
            <w:tcW w:w="540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Warrant liabilities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1"/>
        </w:trPr>
        <w:tc>
          <w:tcPr>
            <w:tcW w:w="63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212529"/>
                <w:w w:val="99"/>
              </w:rPr>
              <w:t>Changes to our warrant liabilities are summarized as follows (in thousands):</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9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9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r>
      <w:tr>
        <w:trPr>
          <w:trHeight w:val="216"/>
        </w:trPr>
        <w:tc>
          <w:tcPr>
            <w:tcW w:w="9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warrant liabilities upon exercise of warrants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r>
      <w:tr>
        <w:trPr>
          <w:trHeight w:val="216"/>
        </w:trPr>
        <w:tc>
          <w:tcPr>
            <w:tcW w:w="9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09"/>
        </w:trPr>
        <w:tc>
          <w:tcPr>
            <w:tcW w:w="9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9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9"/>
        </w:trPr>
        <w:tc>
          <w:tcPr>
            <w:tcW w:w="9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9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
        <w:spacing w:after="0" w:line="282" w:lineRule="auto"/>
        <w:rPr>
          <w:sz w:val="20"/>
          <w:szCs w:val="20"/>
          <w:color w:val="auto"/>
        </w:rPr>
      </w:pPr>
      <w:r>
        <w:rPr>
          <w:rFonts w:ascii="Times New Roman" w:cs="Times New Roman" w:eastAsia="Times New Roman" w:hAnsi="Times New Roman"/>
          <w:sz w:val="18"/>
          <w:szCs w:val="18"/>
          <w:color w:val="auto"/>
        </w:rPr>
        <w:t>Our warrant liabilities relate to the 2022 Series A warrants and 2022 Series B warrants, both of which were issued in November 2022. These warrants are considered to be derivative instruments; accordingly, we recorded their estimated fair value as warrant</w:t>
      </w:r>
    </w:p>
    <w:p>
      <w:pPr>
        <w:sectPr>
          <w:pgSz w:w="11900" w:h="16838" w:orient="portrait"/>
          <w:cols w:equalWidth="0" w:num="1">
            <w:col w:w="9241"/>
          </w:cols>
          <w:pgMar w:left="1319" w:top="513" w:right="1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5880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05" w:name="page106"/>
    <w:bookmarkEnd w:id="105"/>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liabilities. We estimated the fair value of these warrants using the trading market price of our common stock due to a cashless exercise provision of these warrants whereby eight warrants can be exercised for one share of common stock for no additional consideration, which results in the warrant exercise price to be zero.</w:t>
      </w:r>
    </w:p>
    <w:p>
      <w:pPr>
        <w:spacing w:after="0" w:line="172" w:lineRule="exact"/>
        <w:rPr>
          <w:sz w:val="20"/>
          <w:szCs w:val="20"/>
          <w:color w:val="auto"/>
        </w:rPr>
      </w:pPr>
    </w:p>
    <w:p>
      <w:pPr>
        <w:ind w:left="321" w:hanging="321"/>
        <w:spacing w:after="0"/>
        <w:tabs>
          <w:tab w:leader="none" w:pos="32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14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License agreement with Dong-A for DA-1241 and DA-1726</w:t>
      </w:r>
    </w:p>
    <w:p>
      <w:pPr>
        <w:spacing w:after="0" w:line="162"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212529"/>
        </w:rPr>
        <w:t>In September 2022, we entered into the 2022 License Agreement with Dong-A pursuant to which we received an exclusive global license (except for the territory of the Republic of Korea) for two proprietary compounds for specified indications upon meeting certain financing milestones. The 2022 License Agreement covers the rights to DA-1241 for treatment of MASH and DA-1726 for treatment of obesity and MASH. The 2022 License Agreement also provides that we may develop DA-1241 for the treatment of T2DM.</w:t>
      </w:r>
    </w:p>
    <w:p>
      <w:pPr>
        <w:spacing w:after="0" w:line="120"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212529"/>
        </w:rPr>
        <w:t>In connection with the 2022 License Agreement, we entered into a shared services agreement with Dong-A (the “Shared Services Agreement”), relating to DA-1241 and DA-1726, pursuant to which Dong-A may provide technical support, preclinical development, and clinical trial support services on terms and conditions acceptable to both parties. In addition, the Shared Services Agreement provides that Dong-A will manufacture all of our clinical requirements of DA-1241 and DA-1726 under the terms provided in the Shared Services Agreement.</w:t>
      </w:r>
    </w:p>
    <w:p>
      <w:pPr>
        <w:spacing w:after="0" w:line="120" w:lineRule="exact"/>
        <w:rPr>
          <w:sz w:val="20"/>
          <w:szCs w:val="20"/>
          <w:color w:val="auto"/>
        </w:rPr>
      </w:pPr>
    </w:p>
    <w:p>
      <w:pPr>
        <w:jc w:val="both"/>
        <w:ind w:left="1"/>
        <w:spacing w:after="0" w:line="249" w:lineRule="auto"/>
        <w:rPr>
          <w:sz w:val="20"/>
          <w:szCs w:val="20"/>
          <w:color w:val="auto"/>
        </w:rPr>
      </w:pPr>
      <w:r>
        <w:rPr>
          <w:rFonts w:ascii="Times New Roman" w:cs="Times New Roman" w:eastAsia="Times New Roman" w:hAnsi="Times New Roman"/>
          <w:sz w:val="18"/>
          <w:szCs w:val="18"/>
          <w:color w:val="auto"/>
        </w:rPr>
        <w:t>Under the terms of the 2022 License Agreement, we had previously expensed $8.2 million of IPR&amp;D in 2022 as the 2022 License Agreement did not include any processes or activities constituting a “business” acquired since none of the rights underlying the Dong-A License Agreement had alternative future uses or had reached a stage of technological feasibility. Also, Dong-A will be eligible to receive (i) regulatory milestone payments of up to $178 million for DA-1726 and $138 million for DA-1241, dependent upon the achievement of specific regulatory developments; (ii) commercial-based milestone payments, dependent upon the achievement of specific commercial developments; and (iii) single digit royalties on net sales received by us from the commercial sale of products covering DA-1241 or DA-1726. The term of the 2022 License Agreement continues on a product-by-product and country-by country basis until the later of (i) the fifth anniversary of the first commercial sale of such product in such country, (ii) the expiration or termination of the last valid patent claim that covers a product in such country and</w:t>
      </w:r>
    </w:p>
    <w:p>
      <w:pPr>
        <w:spacing w:after="0" w:line="3" w:lineRule="exact"/>
        <w:rPr>
          <w:sz w:val="20"/>
          <w:szCs w:val="20"/>
          <w:color w:val="auto"/>
        </w:rPr>
      </w:pPr>
    </w:p>
    <w:p>
      <w:pPr>
        <w:jc w:val="both"/>
        <w:ind w:left="1" w:hanging="1"/>
        <w:spacing w:after="0" w:line="253" w:lineRule="auto"/>
        <w:tabs>
          <w:tab w:leader="none" w:pos="3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regulatory exclusivity for such product in such jurisdiction. Either Dong-A or MetaVia may terminate the 2022 License Agreement (i) if the other party is in material breach of the agreement and has not cured or started to cure the breach within 60 days of notice of such breach; provided that if the breach cannot be cured within the 60-day period and the breaching party started to remedy the breach, if such breach is not cured within 90 days of receipt of written notice, or (ii) if the other party is subject to a bankruptcy or insolvency event (subject to a 30-day cure period in the case of a petition for bankruptcy).</w:t>
      </w:r>
    </w:p>
    <w:p>
      <w:pPr>
        <w:spacing w:after="0" w:line="106"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potential milestones under the 2022 License Agreement that were yet considered probable; therefore, no liabilities were recorded.</w:t>
      </w:r>
    </w:p>
    <w:p>
      <w:pPr>
        <w:spacing w:after="0" w:line="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As of December 31, 2024, Dong-A owns approximately 62% of our outstanding common stock.</w:t>
      </w:r>
    </w:p>
    <w:p>
      <w:pPr>
        <w:spacing w:after="0" w:line="14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Shared services agreement with Dong-A</w:t>
      </w:r>
    </w:p>
    <w:p>
      <w:pPr>
        <w:spacing w:after="0" w:line="162"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In September 2022, in conjunction with the 2022 License Agreement, we entered into the Shared Services Agreement with Dong-A, relating to DA-1241 and DA-1726. The Shared Services Agreement provides that Dong-A may provide technical support, preclinical development, and clinical trial support services on terms and conditions acceptable to both parties. In addition, the Shared Services Agreement provides that Dong-A will manufacture all of our clinical requirements of DA-1241 and DA-1726 under the terms provided in the Shared Services Agreement.</w:t>
      </w:r>
    </w:p>
    <w:p>
      <w:pPr>
        <w:spacing w:after="0" w:line="120"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Either party may terminate the Shared Services Agreement for the other party’s material breach that is not cured within 30 days of notice. Dong-A may also terminate the Shared Services Agreement in part on a service-by-service or product-by-product basis upon a breach by us which is not cured within 30 days.</w:t>
      </w:r>
    </w:p>
    <w:p>
      <w:pPr>
        <w:spacing w:after="0" w:line="115"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 xml:space="preserve">We incurred R&amp;D expenses of $4.9 million and $2.4 million for 2024 and 2023, respectively, under the Shared Services Agreement, which are included in operating expenses in the accompanying consolidated statement of operations. As of December 31, 2024 and 2023, we have amounts payable to Dong-A of $1.5 million and $0.8 million, respectively, under the Shared Services Agreement, which is included in </w:t>
      </w:r>
      <w:r>
        <w:rPr>
          <w:rFonts w:ascii="Times New Roman" w:cs="Times New Roman" w:eastAsia="Times New Roman" w:hAnsi="Times New Roman"/>
          <w:sz w:val="18"/>
          <w:szCs w:val="18"/>
          <w:color w:val="212529"/>
        </w:rPr>
        <w:t>related party payable</w:t>
      </w:r>
      <w:r>
        <w:rPr>
          <w:rFonts w:ascii="Times New Roman" w:cs="Times New Roman" w:eastAsia="Times New Roman" w:hAnsi="Times New Roman"/>
          <w:sz w:val="18"/>
          <w:szCs w:val="18"/>
          <w:color w:val="auto"/>
        </w:rPr>
        <w:t xml:space="preserve"> in the accompanying consolidated balance sheets. We did not incur any expenses or liabilities under the Shared Services Agreement in 2022.</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5880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06" w:name="page107"/>
    <w:bookmarkEnd w:id="106"/>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License agreement with Dong-A for NB-01 (a legacy therapeutic program)</w:t>
      </w:r>
    </w:p>
    <w:p>
      <w:pPr>
        <w:spacing w:after="0" w:line="16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an exclusive license agreement with Dong-A, (the “2018 License Agreement”) which agreement was amended in April 2018 and July 2019. Under the terms of the 2018 License Agreement, we obtained an exclusive, royalty-bearing, worldwide (except for the Republic of Korea) license to make, use, offer to sell, sell and import products covered by certain Dong-A intellectual property rights in its proprietary compound designated as DA-9801 (NB-01). Our license rights cover any and all applications and markets for the therapeutic, health, nutrition or well-being of humans. We may grant sublicenses to any affiliate or third party. We are responsible for all future patent prosecution costs.</w:t>
      </w:r>
    </w:p>
    <w:p>
      <w:pPr>
        <w:spacing w:after="0" w:line="185" w:lineRule="exact"/>
        <w:rPr>
          <w:sz w:val="20"/>
          <w:szCs w:val="20"/>
          <w:color w:val="auto"/>
        </w:rPr>
      </w:pPr>
    </w:p>
    <w:p>
      <w:pPr>
        <w:ind w:left="1" w:right="6420" w:hanging="1"/>
        <w:spacing w:after="0" w:line="417" w:lineRule="auto"/>
        <w:tabs>
          <w:tab w:leader="none" w:pos="32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w:t>
      </w: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In August 2023, we entered into a non-cancelable operating lease for our corporate headquarters in Cambridge, Massachusetts. The initial lease term is for three years with an option to renew for an additional two-year term. The lease commenced in September 2023 and expires in August 2026. We recorded lease rental expenses of $0.1 million and $29 thousand for 2024 and 2023, respectively, and made lease cash payments of $0.1 million and $28 thousand for 2024 and 2023, respectively.</w:t>
      </w:r>
    </w:p>
    <w:p>
      <w:pPr>
        <w:spacing w:after="0" w:line="119"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lease liabilities to the total lease liabilities recognized on the consolidated balance sheet as of December 31, 2024 (in thousands):</w:t>
      </w:r>
    </w:p>
    <w:p>
      <w:pPr>
        <w:spacing w:after="0" w:line="94" w:lineRule="exact"/>
        <w:rPr>
          <w:sz w:val="20"/>
          <w:szCs w:val="20"/>
          <w:color w:val="auto"/>
        </w:rPr>
      </w:pPr>
    </w:p>
    <w:tbl>
      <w:tblPr>
        <w:tblLayout w:type="fixed"/>
        <w:tblInd w:w="921"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Operating</w:t>
            </w:r>
          </w:p>
        </w:tc>
      </w:tr>
      <w:tr>
        <w:trPr>
          <w:trHeight w:val="234"/>
        </w:trPr>
        <w:tc>
          <w:tcPr>
            <w:tcW w:w="39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Lease</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2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2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portion</w:t>
            </w:r>
          </w:p>
        </w:tc>
        <w:tc>
          <w:tcPr>
            <w:tcW w:w="2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3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As of December 31, 2024 and 2023, our lease liability, which represents the net present value of future lease payments, was calculated utilizing a discount rate of 11%, which corresponds to our estimated incremental borrowing rate.</w:t>
      </w:r>
    </w:p>
    <w:p>
      <w:pPr>
        <w:spacing w:after="0" w:line="81"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Additionally, in January 2024, we terminated a short-term operating lease for our former corporate headquarters located in Boston, Massachusetts. There were no lease rental expense or lease cash payment for 2024 for our former corporate headquarters and we recorded a lease rental expense and made lease cash payments of $22 thousand for 2023.</w:t>
      </w:r>
    </w:p>
    <w:p>
      <w:pPr>
        <w:spacing w:after="0" w:line="1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Contingent payments and license agreements</w:t>
      </w:r>
    </w:p>
    <w:p>
      <w:pPr>
        <w:spacing w:after="0" w:line="148"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8"/>
          <w:szCs w:val="18"/>
          <w:color w:val="auto"/>
        </w:rPr>
        <w:t>We have certain contractual contingent payments under various merger or license agreements executed between 2019 and 2020 for our legacy therapeutic programs. Since we have discontinued the clinical development of our legacy therapeutic programs, we believe any contractual payments to be paid by us or to be received by us under these agreements are remote. Therefore, as of December 31, 2024, no liabilities or assets were recorded in the accompanying consolidated financial statements for our legacy therapeutic programs.</w:t>
      </w:r>
    </w:p>
    <w:p>
      <w:pPr>
        <w:spacing w:after="0" w:line="11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consolidated financial statements. Regardless of the outcome, litigation can have an adverse impact on us because of defense and settlement costs, diversion of management resources and other factors.</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48"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various third parties for clinical trials, preclinical research studies, and testing, manufacturing, and other services and products for operating purposes. These contracts provide for termination upon notice. Payments due upon cancellation generally consist only of payments for services provided or expenses incurred, including non-cancellable obligations of our service providers, up to the date of cancellation. There are no minimum purchase requirements under these contracts.</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588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07" w:name="page108"/>
    <w:bookmarkEnd w:id="107"/>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executives that provide for compensation and certain other benefits. Under certain circumstances, including a change in control, some of these agreements provide for severance or other payments, if those circumstances occur during the term of the employment agreement.</w:t>
      </w:r>
    </w:p>
    <w:p>
      <w:pPr>
        <w:spacing w:after="0" w:line="1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16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We adopted a 401(k) defined contribution plan in November 2018, which became effective in January 2019, for all employees over age 21. Employees can defer up to 90% of their compensation through payroll withholdings into the plan subject to federal law limits. Discretionary employer matches vest over a six-year period beginning on the second anniversary of an employee’s date of hire. Employee contributions and any employer matching contributions made to satisfy certain non-discrimination tests required by the Internal Revenue Code are 100% vested upon contribution. No matching contributions were made for 2024 and 2023.</w:t>
      </w:r>
    </w:p>
    <w:p>
      <w:pPr>
        <w:spacing w:after="0" w:line="185" w:lineRule="exact"/>
        <w:rPr>
          <w:sz w:val="20"/>
          <w:szCs w:val="20"/>
          <w:color w:val="auto"/>
        </w:rPr>
      </w:pPr>
    </w:p>
    <w:p>
      <w:pPr>
        <w:ind w:left="1" w:right="7340" w:hanging="1"/>
        <w:spacing w:after="0" w:line="417" w:lineRule="auto"/>
        <w:tabs>
          <w:tab w:leader="none" w:pos="32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powers, and preferences of the holders of the preferred stock when outstanding. The holders of the common stock are entitled to one vote for each share of common stock held at all meetings of stockholders. Common stockholders are entitled to receive dividends at the sole discretion of our Board. There have been no dividends declared on common stock to date as of December 31, 2024. In the event of any liquidation, dissolution, or winding-up of MetaVia, the holders of common stock shall be entitled to share in the remaining assets of MetaVia available for distribution post preferential distributions made to any holders of our preferred stock.</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212529"/>
        </w:rPr>
        <w:t>The Offering</w:t>
      </w:r>
    </w:p>
    <w:p>
      <w:pPr>
        <w:spacing w:after="0" w:line="160"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i w:val="1"/>
          <w:iCs w:val="1"/>
          <w:color w:val="212529"/>
        </w:rPr>
        <w:t>Securities purchase agreements</w:t>
      </w:r>
    </w:p>
    <w:p>
      <w:pPr>
        <w:spacing w:after="0" w:line="146"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18"/>
          <w:szCs w:val="18"/>
          <w:color w:val="212529"/>
        </w:rPr>
        <w:t>In June 2024, we entered into and closed on two securities purchase agreements (the “Offering”) with an institutional investor and Dong-A, and received aggregate gross proceeds of $20.0 million, of which $10.0 million was received from Dong-A. The Offering was comprised of (i) 3,307,889 shares of common stock at a purchase price of $3.93 per share, (ii) pre-funded warrants to purchase up to 1,781,171 shares of common (the “Pre-Funded Warrants”) at a purchase price of $3.929 per warrant, (iii) Series A warrants to purchase 5,089,060 shares of common stock (the “Series A Warrants”), and (iv) Series B warrants to purchase up to 7,633,591 shares of common stock (the “Series B Warrants”). Collectively, the Series A Warrants and the Series B Warrants are referred to as “PIPE Common Warrants.” Of the total shares of common stock issued in the Offering, 763,359 shares were sold to an institutional investor.</w:t>
      </w:r>
    </w:p>
    <w:p>
      <w:pPr>
        <w:spacing w:after="0" w:line="124" w:lineRule="exact"/>
        <w:rPr>
          <w:sz w:val="20"/>
          <w:szCs w:val="20"/>
          <w:color w:val="auto"/>
        </w:rPr>
      </w:pPr>
    </w:p>
    <w:p>
      <w:pPr>
        <w:jc w:val="both"/>
        <w:ind w:left="1"/>
        <w:spacing w:after="0" w:line="255" w:lineRule="auto"/>
        <w:rPr>
          <w:sz w:val="20"/>
          <w:szCs w:val="20"/>
          <w:color w:val="auto"/>
        </w:rPr>
      </w:pPr>
      <w:r>
        <w:rPr>
          <w:rFonts w:ascii="Times New Roman" w:cs="Times New Roman" w:eastAsia="Times New Roman" w:hAnsi="Times New Roman"/>
          <w:sz w:val="18"/>
          <w:szCs w:val="18"/>
          <w:color w:val="212529"/>
        </w:rPr>
        <w:t>The Pre-Funded Warrants have an exercise price of $0.001 per share and are immediately exercisable and will expire when exercised in full and the PIPE Common Warrants have an exercise price of $3.93 per share and are exercisable as of September 18, 2024, which is the effective date of the stockholder approval received at the Special Meeting of Stockholders for the issuance of the shares upon exercise of the warrants (the “Stockholder Approval Date”).</w:t>
      </w:r>
    </w:p>
    <w:p>
      <w:pPr>
        <w:spacing w:after="0" w:line="119"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212529"/>
        </w:rPr>
        <w:t>The Series A Warrants will expire on the earlier of the twelve month anniversary of the Stockholder Approval Date and within 60 days following the public announcement of the Company receiving positive Phase 1 multiple ascending dose (“MAD”) data readout for DA-1726, and the Series B Warrants will expire on the earlier of the five-year anniversary of the Stockholder Approval Date and within six months following the public announcement of the Company receiving positive Phase 1 Part 3 data readout for DA-1726. Based on the terms of the PIPE Common Warrants, we have concluded that the accounting classification of the PIPE Common Warrants is to be stockholders’ equity.</w:t>
      </w:r>
    </w:p>
    <w:p>
      <w:pPr>
        <w:spacing w:after="0" w:line="122"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18"/>
          <w:szCs w:val="18"/>
          <w:color w:val="212529"/>
        </w:rPr>
        <w:t>Under the terms of the Pre-Funded Warrants and the PIPE Common Warrants issued to the institutional investor, we may not affect the exercise of any such Pre-Funded Warrants or PIPE Common Warrants, and the holder will not be entitled to exercise any portion of any Pre-Funded Warrants or PIPE Common Warrants,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would exceed 9.99% (in the case of the Pre-Funded Warrants) or 4.99% (in the case of the PIPE Common Warrants) of the number of shares of the Company’s outstanding common stock immediately after giving effect to the exercise (the “Beneficial</w:t>
      </w:r>
    </w:p>
    <w:p>
      <w:pPr>
        <w:sectPr>
          <w:pgSz w:w="11900" w:h="16838" w:orient="portrait"/>
          <w:cols w:equalWidth="0" w:num="1">
            <w:col w:w="9241"/>
          </w:cols>
          <w:pgMar w:left="1319" w:top="513" w:right="1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58807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Ownership Limitation”), as such percentage ownership is calculated in accordance with Section 13(d) of the Exchange Act and the applicable regulations of the SEC. A holder of the Pre-Funded Warrants or PIPE Common Warrants that were issued to the institutional investor may increase or decrease the Beneficial Ownership Limitation to a higher or lower percentage (not to exceed 9.99%), effective 61 days after written notice to us. Any such increase or decrease will apply only to that holder and not to any other holder of the Pre-Funded Warrants or PIPE Common Warrants.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12529"/>
        </w:rPr>
        <w:t>Placement agent</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12529"/>
        </w:rPr>
        <w:t>We paid the placement agent a cash fee equal to 7.0% of the gross proceeds of the Offering received from a certain institutional investor and $0.1 million for non-accountable expenses and clearing costs. In addition, we issued warrants to the placement agent’s designees (“Placement Agent Warrants”) to purchase up to 127,227 shares of common stock (which represents 5% of the sum of the shares of common stock and Pre-Funded Warrants sold to the institutional investor in the Offering) at an exercise price of $4.9125 per share (which represents a premium of 125% of the offering price per share of common stock in the Offering). The Placement Agent Warrants will be exercisable beginning on the effective date of the Stockholder Approval Date and will expire on the earlier of (i) two years after the date that the shares of common stock underlying the Placement Agent Warrants are registered pursuant to an effective registration statement filed pursuant to the Securities Act of 1933, as amended, which occurred on July 24, 2024, and (ii) June 23, 2029. The grant date fair value of the Placement Agent Warrants was $0.3 million, which represents a non-cash issuance cost. The weighted average grant date fair value per share of these Placement Agent Warrants was $2.73, which was determined using the Black-Scholes option pricing model. Based on the terms of the Placement Agreement Warrants, we have concluded that the accounting classification of the Placement Agent Warrants is stockholders’ equity in the accompanying consolidated balance sheets.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212529"/>
        </w:rPr>
        <w:t>Upon the exercise for cash of any PIPE Common Warrants issued to a certain institutional investor, we shall pay the placement agent (i) a cash fee of 7.0% of the aggregate gross exercise price paid in cash with respect thereto and (ii) a non-cash fee in the form of additional warrants to purchase the number of shares of common stock equal to 5.0% of the aggregate number of such shares of common stock underlying such warrants. The cash fee payable to the placement agent for any PIPE Common Warrants exercised by the institutional investor is accounted for as a contingent commitment and will be recorded as an offset to any gross proceeds received from any future exercises of PIPE Common Warrants by the institutional investor. The non-cash fee payable to the placement agent for any PIPE Common Warrants exercised by the institutional investor is accounted for as contingent warrants (“Placement Agent Contingent Warrants”) to purchase up to 318,067 shares of common stock, which is subject to performance criteria of the institutional investor regarding any exercise for cash of any PIPE Common Warrants with an assumed grant date of the Offering closing date, and an exercise price of $4.9125 per share. The weighted average grant date fair value per share of these Placement Agent Contingent Warrants was $3.43, which was determined using the Black-Scholes option pricing model. Based on the terms of the placement agent engagement letter, we have concluded that the accounting classification of the Placement Agent Contingent Warrants is to be stockholders’ equity. On each balance sheet reporting date, we will need to assess whether it is probable for us to issue warrants to the placement agent based on whether it is probable for any PIPE Common Warrants to be exercised by the institutional investor. As of December 31, 2024, we determined that the issuance of additional warrants to the placement agent is not yet probable; accordingly, the Placement Agent Contingent Warrants had no impact on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warrants were outstanding as of December 31, 2024 and 2023:</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Shares of Common Stock Issuable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for Outstanding Warrants</w:t>
            </w:r>
          </w:p>
        </w:tc>
        <w:tc>
          <w:tcPr>
            <w:tcW w:w="280" w:type="dxa"/>
            <w:vAlign w:val="bottom"/>
          </w:tcPr>
          <w:p>
            <w:pPr>
              <w:spacing w:after="0"/>
              <w:rPr>
                <w:sz w:val="20"/>
                <w:szCs w:val="20"/>
                <w:color w:val="auto"/>
              </w:rPr>
            </w:pPr>
          </w:p>
        </w:tc>
        <w:tc>
          <w:tcPr>
            <w:tcW w:w="8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Exercise</w:t>
            </w:r>
          </w:p>
        </w:tc>
        <w:tc>
          <w:tcPr>
            <w:tcW w:w="22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Expiration</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 Issuance</w:t>
            </w: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Price</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09"/>
        </w:trPr>
        <w:tc>
          <w:tcPr>
            <w:tcW w:w="24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July 2018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44,820.00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April 2020 </w:t>
            </w:r>
            <w:r>
              <w:rPr>
                <w:rFonts w:ascii="Times New Roman" w:cs="Times New Roman" w:eastAsia="Times New Roman" w:hAnsi="Times New Roman"/>
                <w:sz w:val="25"/>
                <w:szCs w:val="25"/>
                <w:color w:val="auto"/>
                <w:vertAlign w:val="superscript"/>
              </w:rPr>
              <w:t>(1)</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2025</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January 2021 </w:t>
            </w:r>
            <w:r>
              <w:rPr>
                <w:rFonts w:ascii="Times New Roman" w:cs="Times New Roman" w:eastAsia="Times New Roman" w:hAnsi="Times New Roman"/>
                <w:sz w:val="25"/>
                <w:szCs w:val="25"/>
                <w:color w:val="auto"/>
                <w:vertAlign w:val="superscript"/>
              </w:rPr>
              <w:t>(1)</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10,421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1,447.20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October 2021 </w:t>
            </w:r>
            <w:r>
              <w:rPr>
                <w:rFonts w:ascii="Times New Roman" w:cs="Times New Roman" w:eastAsia="Times New Roman" w:hAnsi="Times New Roman"/>
                <w:sz w:val="25"/>
                <w:szCs w:val="25"/>
                <w:color w:val="auto"/>
                <w:vertAlign w:val="superscript"/>
              </w:rPr>
              <w:t>(1)</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15,390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2025</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November 2022 Series B </w:t>
            </w:r>
            <w:r>
              <w:rPr>
                <w:rFonts w:ascii="Times New Roman" w:cs="Times New Roman" w:eastAsia="Times New Roman" w:hAnsi="Times New Roman"/>
                <w:sz w:val="25"/>
                <w:szCs w:val="25"/>
                <w:color w:val="auto"/>
                <w:vertAlign w:val="superscript"/>
              </w:rPr>
              <w:t>(2)</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177,938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June 2024 Placement Agent </w:t>
            </w:r>
            <w:r>
              <w:rPr>
                <w:rFonts w:ascii="Times New Roman" w:cs="Times New Roman" w:eastAsia="Times New Roman" w:hAnsi="Times New Roman"/>
                <w:sz w:val="25"/>
                <w:szCs w:val="25"/>
                <w:color w:val="auto"/>
                <w:vertAlign w:val="superscript"/>
              </w:rPr>
              <w:t>(3)</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127,227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Pre-Funded </w:t>
            </w:r>
            <w:r>
              <w:rPr>
                <w:rFonts w:ascii="Times New Roman" w:cs="Times New Roman" w:eastAsia="Times New Roman" w:hAnsi="Times New Roman"/>
                <w:sz w:val="25"/>
                <w:szCs w:val="25"/>
                <w:color w:val="auto"/>
                <w:vertAlign w:val="superscript"/>
              </w:rPr>
              <w:t>(4)</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1,430,000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expiration date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June 2024</w:t>
            </w:r>
          </w:p>
        </w:tc>
        <w:tc>
          <w:tcPr>
            <w:tcW w:w="1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Series A </w:t>
            </w:r>
            <w:r>
              <w:rPr>
                <w:rFonts w:ascii="Times New Roman" w:cs="Times New Roman" w:eastAsia="Times New Roman" w:hAnsi="Times New Roman"/>
                <w:sz w:val="25"/>
                <w:szCs w:val="25"/>
                <w:color w:val="auto"/>
                <w:vertAlign w:val="superscript"/>
              </w:rPr>
              <w:t>(5)</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5,089,060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2025 (latest date)</w:t>
            </w:r>
          </w:p>
        </w:tc>
        <w:tc>
          <w:tcPr>
            <w:tcW w:w="0" w:type="dxa"/>
            <w:vAlign w:val="bottom"/>
          </w:tcPr>
          <w:p>
            <w:pPr>
              <w:spacing w:after="0"/>
              <w:rPr>
                <w:sz w:val="1"/>
                <w:szCs w:val="1"/>
                <w:color w:val="auto"/>
              </w:rPr>
            </w:pPr>
          </w:p>
        </w:tc>
      </w:tr>
      <w:tr>
        <w:trPr>
          <w:trHeight w:val="216"/>
        </w:trPr>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660" w:type="dxa"/>
            <w:vAlign w:val="bottom"/>
            <w:tcBorders>
              <w:bottom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Series B </w:t>
            </w:r>
            <w:r>
              <w:rPr>
                <w:rFonts w:ascii="Times New Roman" w:cs="Times New Roman" w:eastAsia="Times New Roman" w:hAnsi="Times New Roman"/>
                <w:sz w:val="25"/>
                <w:szCs w:val="25"/>
                <w:color w:val="auto"/>
                <w:vertAlign w:val="superscript"/>
              </w:rPr>
              <w:t>(6)</w:t>
            </w:r>
          </w:p>
        </w:tc>
        <w:tc>
          <w:tcPr>
            <w:tcW w:w="14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7,633,591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2029 (latest date)</w:t>
            </w: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14,483,792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203,914</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513" w:right="1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8" w:lineRule="exact"/>
        <w:rPr>
          <w:sz w:val="20"/>
          <w:szCs w:val="20"/>
          <w:color w:val="auto"/>
        </w:rPr>
      </w:pPr>
    </w:p>
    <w:p>
      <w:pPr>
        <w:ind w:left="840" w:right="680" w:hanging="328"/>
        <w:spacing w:after="0" w:line="215" w:lineRule="auto"/>
        <w:tabs>
          <w:tab w:leader="none" w:pos="840" w:val="left"/>
        </w:tabs>
        <w:numPr>
          <w:ilvl w:val="0"/>
          <w:numId w:val="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number of outstanding and exercisable warrants is equal to the number of shares of common stock issuable for outstanding warrants.</w:t>
      </w:r>
    </w:p>
    <w:p>
      <w:pPr>
        <w:spacing w:after="0" w:line="127" w:lineRule="exact"/>
        <w:rPr>
          <w:rFonts w:ascii="Times New Roman" w:cs="Times New Roman" w:eastAsia="Times New Roman" w:hAnsi="Times New Roman"/>
          <w:sz w:val="24"/>
          <w:szCs w:val="24"/>
          <w:color w:val="auto"/>
          <w:vertAlign w:val="superscript"/>
        </w:rPr>
      </w:pPr>
    </w:p>
    <w:p>
      <w:pPr>
        <w:jc w:val="both"/>
        <w:ind w:left="840" w:right="680" w:hanging="328"/>
        <w:spacing w:after="0" w:line="232" w:lineRule="auto"/>
        <w:tabs>
          <w:tab w:leader="none" w:pos="840" w:val="left"/>
        </w:tabs>
        <w:numPr>
          <w:ilvl w:val="0"/>
          <w:numId w:val="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number of outstanding and exercisable warrants of 1,423,504 represent eight times the number of shares of common stock issuable for these warrants. T</w:t>
      </w:r>
      <w:r>
        <w:rPr>
          <w:rFonts w:ascii="Times New Roman" w:cs="Times New Roman" w:eastAsia="Times New Roman" w:hAnsi="Times New Roman"/>
          <w:sz w:val="16"/>
          <w:szCs w:val="16"/>
          <w:color w:val="212529"/>
        </w:rPr>
        <w:t>hese warrants have a cashless exercise provision whereby eight warrants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can be exercised for one share of common stock for no additional consideration, which renders the $3.00 per warrant exercise price to be zero. I</w:t>
      </w:r>
      <w:r>
        <w:rPr>
          <w:rFonts w:ascii="Times New Roman" w:cs="Times New Roman" w:eastAsia="Times New Roman" w:hAnsi="Times New Roman"/>
          <w:sz w:val="16"/>
          <w:szCs w:val="16"/>
          <w:color w:val="000000"/>
        </w:rPr>
        <w:t>n 2023, 6,843,666 Series B warrants issued in November 2022 were exercised for 855,458</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shares of our common stock.</w:t>
      </w:r>
    </w:p>
    <w:p>
      <w:pPr>
        <w:spacing w:after="0" w:line="128" w:lineRule="exact"/>
        <w:rPr>
          <w:rFonts w:ascii="Times New Roman" w:cs="Times New Roman" w:eastAsia="Times New Roman" w:hAnsi="Times New Roman"/>
          <w:sz w:val="24"/>
          <w:szCs w:val="24"/>
          <w:color w:val="auto"/>
          <w:vertAlign w:val="superscript"/>
        </w:rPr>
      </w:pPr>
    </w:p>
    <w:p>
      <w:pPr>
        <w:jc w:val="both"/>
        <w:ind w:left="840" w:right="680" w:hanging="328"/>
        <w:spacing w:after="0" w:line="225" w:lineRule="auto"/>
        <w:tabs>
          <w:tab w:leader="none" w:pos="840" w:val="left"/>
        </w:tabs>
        <w:numPr>
          <w:ilvl w:val="0"/>
          <w:numId w:val="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These warrants are exercisable at any time from the Stockholder Approval Date and expire two years after a resale registration statement covering the shares of common stock issuable upon the exercise of the warrants hereunder becomes effective with the SEC. In July 2024, a resale registration statement was filed with the SEC and became effective.</w:t>
      </w:r>
    </w:p>
    <w:p>
      <w:pPr>
        <w:spacing w:after="0" w:line="128" w:lineRule="exact"/>
        <w:rPr>
          <w:rFonts w:ascii="Times New Roman" w:cs="Times New Roman" w:eastAsia="Times New Roman" w:hAnsi="Times New Roman"/>
          <w:sz w:val="24"/>
          <w:szCs w:val="24"/>
          <w:color w:val="auto"/>
          <w:vertAlign w:val="superscript"/>
        </w:rPr>
      </w:pPr>
    </w:p>
    <w:p>
      <w:pPr>
        <w:jc w:val="both"/>
        <w:ind w:left="840" w:right="680" w:hanging="328"/>
        <w:spacing w:after="0" w:line="224" w:lineRule="auto"/>
        <w:tabs>
          <w:tab w:leader="none" w:pos="840" w:val="left"/>
        </w:tabs>
        <w:numPr>
          <w:ilvl w:val="0"/>
          <w:numId w:val="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These warrants are exercisable immediately upon their issuance in June 2024 and are considered to be perpetual warrants without any expiration date. Additionally, i</w:t>
      </w:r>
      <w:r>
        <w:rPr>
          <w:rFonts w:ascii="Times New Roman" w:cs="Times New Roman" w:eastAsia="Times New Roman" w:hAnsi="Times New Roman"/>
          <w:sz w:val="16"/>
          <w:szCs w:val="16"/>
          <w:color w:val="212529"/>
        </w:rPr>
        <w:t>n the third quarter of 2024, 351,171 Pre-Funded Warrants were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exercised for an equivalent number of shares of our common stock.</w:t>
      </w:r>
    </w:p>
    <w:p>
      <w:pPr>
        <w:spacing w:after="0" w:line="127" w:lineRule="exact"/>
        <w:rPr>
          <w:rFonts w:ascii="Times New Roman" w:cs="Times New Roman" w:eastAsia="Times New Roman" w:hAnsi="Times New Roman"/>
          <w:sz w:val="24"/>
          <w:szCs w:val="24"/>
          <w:color w:val="auto"/>
          <w:vertAlign w:val="superscript"/>
        </w:rPr>
      </w:pPr>
    </w:p>
    <w:p>
      <w:pPr>
        <w:jc w:val="both"/>
        <w:ind w:left="840" w:right="680" w:hanging="328"/>
        <w:spacing w:after="0" w:line="219" w:lineRule="auto"/>
        <w:tabs>
          <w:tab w:leader="none" w:pos="840" w:val="left"/>
        </w:tabs>
        <w:numPr>
          <w:ilvl w:val="0"/>
          <w:numId w:val="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These warrants are exercisable at any time from the Stockholder Approval Date and expire earlier of (i) the twelve months anniversary of the Stockholder Approval Date, and (ii) the 60th day following the date on which the Company publicly announces the receiving of positive Phase 1 MAD data readout for DA-1726.</w:t>
      </w:r>
    </w:p>
    <w:p>
      <w:pPr>
        <w:spacing w:after="0" w:line="141" w:lineRule="exact"/>
        <w:rPr>
          <w:rFonts w:ascii="Times New Roman" w:cs="Times New Roman" w:eastAsia="Times New Roman" w:hAnsi="Times New Roman"/>
          <w:sz w:val="24"/>
          <w:szCs w:val="24"/>
          <w:color w:val="auto"/>
          <w:vertAlign w:val="superscript"/>
        </w:rPr>
      </w:pPr>
    </w:p>
    <w:p>
      <w:pPr>
        <w:jc w:val="both"/>
        <w:ind w:left="840" w:right="680" w:hanging="328"/>
        <w:spacing w:after="0" w:line="219" w:lineRule="auto"/>
        <w:tabs>
          <w:tab w:leader="none" w:pos="840" w:val="left"/>
        </w:tabs>
        <w:numPr>
          <w:ilvl w:val="0"/>
          <w:numId w:val="9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These warrants are exercisable at any time from the Stockholder Approval Date and expire on the earlier of (i) the five-year anniversary of the Stockholder Approval Date and (ii) the six months anniversary following the date on which the Company publicly announce the receiving of positive Phase 1, Part 3 data readout for DA-1726.</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Additionally, on a cashless basis, 6,768,837 Series A warrants issued in November 2022 were exercised in 2023 for 846,105 shares of our common stock. As of December 31, 2023, </w:t>
      </w:r>
      <w:r>
        <w:rPr>
          <w:rFonts w:ascii="Times New Roman" w:cs="Times New Roman" w:eastAsia="Times New Roman" w:hAnsi="Times New Roman"/>
          <w:sz w:val="18"/>
          <w:szCs w:val="18"/>
          <w:color w:val="212529"/>
        </w:rPr>
        <w:t>all Series A warrants were fully exercised for shares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Stock-based compensation expense was included in general and administrative </w:t>
      </w:r>
      <w:r>
        <w:rPr>
          <w:rFonts w:ascii="Times New Roman" w:cs="Times New Roman" w:eastAsia="Times New Roman" w:hAnsi="Times New Roman"/>
          <w:sz w:val="18"/>
          <w:szCs w:val="18"/>
          <w:color w:val="212529"/>
        </w:rPr>
        <w:t>and research and development as follows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thousands):</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360" w:type="dxa"/>
            <w:vAlign w:val="bottom"/>
            <w:tcBorders>
              <w:bottom w:val="single" w:sz="8" w:color="auto"/>
            </w:tcBorders>
          </w:tcPr>
          <w:p>
            <w:pPr>
              <w:spacing w:after="0"/>
              <w:rPr>
                <w:sz w:val="20"/>
                <w:szCs w:val="20"/>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366</w:t>
            </w:r>
          </w:p>
        </w:tc>
        <w:tc>
          <w:tcPr>
            <w:tcW w:w="10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538</w:t>
            </w:r>
          </w:p>
        </w:tc>
        <w:tc>
          <w:tcPr>
            <w:tcW w:w="102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Stock-based award plans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2019, in connection with a merger, we adopted the 2019 Equity Incentive Plan (the “2019 Plan”). Additionally, we adopted the 2021 Inducement Plan in November 2021 and the Amended and Restated 2022 Equity Incentive Plan (the “2022 Plan”) in December 2022. The 2019 Plan, 2021 Inducement Plan and 2022 Plan provide for the grant of stock options, restricted stock, RSUs and other equity awards of our common stock to employees, officers, consultants, and directors. Stock options granted under any of these plans expire within a period of not more than ten years from the date of grant.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adoption of the 2022 Plan, no additional shares may be added to or granted from the 2019 Plan, and any shares related to forfeited awards are carryover to the 2022 Plan. In June 2024, in connection with the 2024 Annual Meeting of Stockholders, our stockholders approved an amendment (the “Amendment”) to our 2022 Plan. Pursuant to the terms and conditions of the Amendment, the 2022 Plan was amended to:</w:t>
      </w:r>
    </w:p>
    <w:p>
      <w:pPr>
        <w:spacing w:after="0" w:line="112" w:lineRule="exact"/>
        <w:rPr>
          <w:sz w:val="20"/>
          <w:szCs w:val="20"/>
          <w:color w:val="auto"/>
        </w:rPr>
      </w:pPr>
    </w:p>
    <w:p>
      <w:pPr>
        <w:jc w:val="both"/>
        <w:ind w:left="680" w:hanging="330"/>
        <w:spacing w:after="0" w:line="253" w:lineRule="auto"/>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increase on January 1st of each year for a period of eight years commencing on January 1, 2025 and ending on (and including) January 1, 2032, the aggregate number of shares of common stock that may be issued pursuant to Awards (as defined in the 2022 Plan) to an amount equal to 10% of the Fully Diluted Shares (as defined in the 2022 Plan) as of the last day of the preceding calendar year, provided, however that the Board may act prior to the effective date of any such annual increase to provide that the increase for such year will be a lesser number of shares of common stock; and</w:t>
      </w:r>
    </w:p>
    <w:p>
      <w:pPr>
        <w:spacing w:after="0" w:line="108" w:lineRule="exact"/>
        <w:rPr>
          <w:rFonts w:ascii="Times New Roman" w:cs="Times New Roman" w:eastAsia="Times New Roman" w:hAnsi="Times New Roman"/>
          <w:sz w:val="18"/>
          <w:szCs w:val="18"/>
          <w:color w:val="auto"/>
        </w:rPr>
      </w:pPr>
    </w:p>
    <w:p>
      <w:pPr>
        <w:ind w:left="680" w:hanging="330"/>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maximum number of shares of common stock that may be issued pursuant to the exercise of</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jc w:val="both"/>
        <w:ind w:left="680"/>
        <w:spacing w:after="0" w:line="266" w:lineRule="auto"/>
        <w:rPr>
          <w:sz w:val="20"/>
          <w:szCs w:val="20"/>
          <w:color w:val="auto"/>
        </w:rPr>
      </w:pPr>
      <w:r>
        <w:rPr>
          <w:rFonts w:ascii="Times New Roman" w:cs="Times New Roman" w:eastAsia="Times New Roman" w:hAnsi="Times New Roman"/>
          <w:sz w:val="18"/>
          <w:szCs w:val="18"/>
          <w:color w:val="auto"/>
        </w:rPr>
        <w:t>Incentive Stock Options (as defined in the 2022 Plan) to 1 million shares of the common stock plus the amount of any increase in the number of shares that may be available for issuance pursuant to the annual increase described above, but in no event more than 15 million shares of the common stock issued as incentive stock options.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following table summarizes the outstanding awards issued pursuant to our stock-based award plans and inducement grants as of December 31, 2024 and the remaining shares of common stock available for future issuance:</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shares of</w:t>
            </w:r>
          </w:p>
        </w:tc>
      </w:tr>
      <w:tr>
        <w:trPr>
          <w:trHeight w:val="216"/>
        </w:trPr>
        <w:tc>
          <w:tcPr>
            <w:tcW w:w="2680" w:type="dxa"/>
            <w:vAlign w:val="bottom"/>
          </w:tcPr>
          <w:p>
            <w:pPr>
              <w:spacing w:after="0"/>
              <w:rPr>
                <w:sz w:val="18"/>
                <w:szCs w:val="18"/>
                <w:color w:val="auto"/>
              </w:rPr>
            </w:pP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available</w:t>
            </w:r>
          </w:p>
        </w:tc>
      </w:tr>
      <w:tr>
        <w:trPr>
          <w:trHeight w:val="234"/>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 Name</w:t>
            </w: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Options</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RSUs</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future issuance</w:t>
            </w: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Plan</w:t>
            </w:r>
          </w:p>
        </w:tc>
        <w:tc>
          <w:tcPr>
            <w:tcW w:w="1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1,575</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2022 Plan</w:t>
            </w:r>
          </w:p>
        </w:tc>
        <w:tc>
          <w:tcPr>
            <w:tcW w:w="1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3,125</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175,086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356,992</w:t>
            </w:r>
          </w:p>
        </w:tc>
      </w:tr>
      <w:tr>
        <w:trPr>
          <w:trHeight w:val="216"/>
        </w:trPr>
        <w:tc>
          <w:tcPr>
            <w:tcW w:w="2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Inducement Plan</w:t>
            </w:r>
          </w:p>
        </w:tc>
        <w:tc>
          <w:tcPr>
            <w:tcW w:w="1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09"/>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4,700</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175,086</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361,158</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stock options and RSUs granted under the 2019 Plan and 2022 Plan as of December 31, 2024, unrecognized stock-based compensation costs totaled $0.6 million. The unrecognized stock-based costs are expected to be recognized as an expense over a weighted average period of 1.7 years.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2529"/>
        </w:rPr>
        <w:t>The following table summarizes the status of our RSUs and related transactions for the period presented (in thousands, except share and per share amounts)</w:t>
      </w:r>
      <w:r>
        <w:rPr>
          <w:rFonts w:ascii="Times New Roman" w:cs="Times New Roman" w:eastAsia="Times New Roman" w:hAnsi="Times New Roman"/>
          <w:sz w:val="18"/>
          <w:szCs w:val="18"/>
          <w:color w:val="000000"/>
        </w:rPr>
        <w:t>:</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20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Vested and Deferred Release</w:t>
            </w:r>
          </w:p>
        </w:tc>
      </w:tr>
      <w:tr>
        <w:trPr>
          <w:trHeight w:val="191"/>
        </w:trPr>
        <w:tc>
          <w:tcPr>
            <w:tcW w:w="222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Shares of</w:t>
            </w:r>
          </w:p>
        </w:tc>
        <w:tc>
          <w:tcPr>
            <w:tcW w:w="140" w:type="dxa"/>
            <w:vAlign w:val="bottom"/>
          </w:tcPr>
          <w:p>
            <w:pPr>
              <w:spacing w:after="0"/>
              <w:rPr>
                <w:sz w:val="16"/>
                <w:szCs w:val="16"/>
                <w:color w:val="auto"/>
              </w:rPr>
            </w:pPr>
          </w:p>
        </w:tc>
        <w:tc>
          <w:tcPr>
            <w:tcW w:w="78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Shares of</w:t>
            </w:r>
          </w:p>
        </w:tc>
        <w:tc>
          <w:tcPr>
            <w:tcW w:w="160" w:type="dxa"/>
            <w:vAlign w:val="bottom"/>
          </w:tcPr>
          <w:p>
            <w:pPr>
              <w:spacing w:after="0"/>
              <w:rPr>
                <w:sz w:val="16"/>
                <w:szCs w:val="16"/>
                <w:color w:val="auto"/>
              </w:rPr>
            </w:pPr>
          </w:p>
        </w:tc>
        <w:tc>
          <w:tcPr>
            <w:tcW w:w="78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2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Issuable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200" w:type="dxa"/>
            <w:vAlign w:val="bottom"/>
          </w:tcPr>
          <w:p>
            <w:pPr>
              <w:spacing w:after="0"/>
              <w:rPr>
                <w:sz w:val="18"/>
                <w:szCs w:val="18"/>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Fair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Issuable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16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4"/>
        </w:trPr>
        <w:tc>
          <w:tcPr>
            <w:tcW w:w="2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RSUs</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Price</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2"/>
              </w:rPr>
              <w:t>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RSUs</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Price</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173,395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deferred release</w:t>
            </w: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deferred release</w:t>
            </w: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r>
      <w:tr>
        <w:trPr>
          <w:trHeight w:val="210"/>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status of our outstanding and exercisable options and related transactions for the period presented (</w:t>
      </w:r>
      <w:r>
        <w:rPr>
          <w:rFonts w:ascii="Times New Roman" w:cs="Times New Roman" w:eastAsia="Times New Roman" w:hAnsi="Times New Roman"/>
          <w:sz w:val="18"/>
          <w:szCs w:val="18"/>
          <w:color w:val="212529"/>
        </w:rPr>
        <w:t>in thousands, except share and per share amounts):</w:t>
      </w:r>
    </w:p>
    <w:p>
      <w:pPr>
        <w:spacing w:after="0" w:line="108"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Outstanding</w:t>
            </w:r>
          </w:p>
        </w:tc>
        <w:tc>
          <w:tcPr>
            <w:tcW w:w="1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Exercisable</w:t>
            </w:r>
          </w:p>
        </w:tc>
        <w:tc>
          <w:tcPr>
            <w:tcW w:w="1020" w:type="dxa"/>
            <w:vAlign w:val="bottom"/>
            <w:tcBorders>
              <w:bottom w:val="single" w:sz="8" w:color="auto"/>
            </w:tcBorders>
          </w:tcPr>
          <w:p>
            <w:pPr>
              <w:spacing w:after="0"/>
              <w:rPr>
                <w:sz w:val="20"/>
                <w:szCs w:val="20"/>
                <w:color w:val="auto"/>
              </w:rPr>
            </w:pPr>
          </w:p>
        </w:tc>
      </w:tr>
      <w:tr>
        <w:trPr>
          <w:trHeight w:val="191"/>
        </w:trPr>
        <w:tc>
          <w:tcPr>
            <w:tcW w:w="200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Shares of</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Shares of</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20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2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Weighted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20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20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Issuable</w:t>
            </w:r>
          </w:p>
        </w:tc>
        <w:tc>
          <w:tcPr>
            <w:tcW w:w="12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Issuable</w:t>
            </w:r>
          </w:p>
        </w:tc>
        <w:tc>
          <w:tcPr>
            <w:tcW w:w="16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r>
      <w:tr>
        <w:trPr>
          <w:trHeight w:val="234"/>
        </w:trPr>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Options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Price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Term (years)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Options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Price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Term (years)</w:t>
            </w:r>
          </w:p>
        </w:tc>
      </w:tr>
      <w:tr>
        <w:trPr>
          <w:trHeight w:val="21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796.96</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596.32</w:t>
            </w:r>
          </w:p>
        </w:tc>
        <w:tc>
          <w:tcPr>
            <w:tcW w:w="10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0"/>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398.30</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398.30</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our outstanding and exercisable options was zero as of January 1, 2023 and December 31,</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11" w:name="page112"/>
    <w:bookmarkEnd w:id="111"/>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2023 and 2024.</w:t>
      </w:r>
    </w:p>
    <w:p>
      <w:pPr>
        <w:spacing w:after="0" w:line="156"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i w:val="1"/>
          <w:iCs w:val="1"/>
          <w:color w:val="212529"/>
        </w:rPr>
        <w:t>Grant date fair value of RSUs, stock options and warrants</w:t>
      </w:r>
    </w:p>
    <w:p>
      <w:pPr>
        <w:spacing w:after="0" w:line="146"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We estimated the grant date fair value of RSUs granted to employees, consultants, and directors based on the closing sales price of our common stock as reported on Nasdaq on the date of grant. We estimated the grant date fair value of stock options and warrants granted to employees, consultants, and directors using the Black-Scholes option pricing model.</w:t>
      </w:r>
    </w:p>
    <w:p>
      <w:pPr>
        <w:spacing w:after="0" w:line="108"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fair value per share of Placement Agent Warrants granted in 2024 and the weighted average fair value per share of stock options granted in 2023 and the assumptions used in the Black-Scholes option-pricing model:</w:t>
      </w:r>
    </w:p>
    <w:p>
      <w:pPr>
        <w:spacing w:after="0" w:line="122" w:lineRule="exact"/>
        <w:rPr>
          <w:sz w:val="20"/>
          <w:szCs w:val="20"/>
          <w:color w:val="auto"/>
        </w:rPr>
      </w:pPr>
    </w:p>
    <w:tbl>
      <w:tblPr>
        <w:tblLayout w:type="fixed"/>
        <w:tblInd w:w="921"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8"/>
                <w:szCs w:val="18"/>
                <w:color w:val="auto"/>
              </w:rPr>
              <w:t>Placement Agent</w:t>
            </w:r>
          </w:p>
        </w:tc>
        <w:tc>
          <w:tcPr>
            <w:tcW w:w="2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gridSpan w:val="2"/>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Contingent</w:t>
            </w: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Warrants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Granted in</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Granted in</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Granted in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June 2024</w:t>
            </w: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1" w:hanging="321"/>
        <w:spacing w:after="0"/>
        <w:tabs>
          <w:tab w:leader="none" w:pos="321"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segment expenses</w:t>
      </w:r>
    </w:p>
    <w:p>
      <w:pPr>
        <w:spacing w:after="0" w:line="16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212529"/>
        </w:rPr>
        <w:t>The following table sets forth the significant segment expenses that are regularly provided to our CODM:</w:t>
      </w:r>
    </w:p>
    <w:p>
      <w:pPr>
        <w:spacing w:after="0" w:line="158" w:lineRule="exact"/>
        <w:rPr>
          <w:sz w:val="20"/>
          <w:szCs w:val="20"/>
          <w:color w:val="auto"/>
        </w:rPr>
      </w:pPr>
    </w:p>
    <w:tbl>
      <w:tblPr>
        <w:tblLayout w:type="fixed"/>
        <w:tblInd w:w="921"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0"/>
        </w:trPr>
        <w:tc>
          <w:tcPr>
            <w:tcW w:w="4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Clinical trial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14,441</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198"/>
        </w:trPr>
        <w:tc>
          <w:tcPr>
            <w:tcW w:w="464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rPr>
              <w:t>Costs under the Shared Services Agreement with</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Dong-A (related party)</w:t>
            </w:r>
          </w:p>
        </w:tc>
        <w:tc>
          <w:tcPr>
            <w:tcW w:w="2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4,930</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16"/>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4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Consulting</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4640" w:type="dxa"/>
            <w:vAlign w:val="bottom"/>
            <w:tcBorders>
              <w:bottom w:val="single" w:sz="8" w:color="auto"/>
            </w:tcBorders>
            <w:shd w:val="clear" w:color="auto" w:fill="CCEEFF"/>
          </w:tcPr>
          <w:p>
            <w:pPr>
              <w:ind w:left="44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0"/>
        </w:trPr>
        <w:tc>
          <w:tcPr>
            <w:tcW w:w="4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21,553</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9,158</w:t>
            </w:r>
          </w:p>
        </w:tc>
      </w:tr>
      <w:tr>
        <w:trPr>
          <w:trHeight w:val="20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2,864</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Consulting</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1,533</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4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640" w:type="dxa"/>
            <w:vAlign w:val="bottom"/>
            <w:tcBorders>
              <w:bottom w:val="single" w:sz="8" w:color="auto"/>
            </w:tcBorders>
            <w:shd w:val="clear" w:color="auto" w:fill="CCEEFF"/>
          </w:tcPr>
          <w:p>
            <w:pPr>
              <w:ind w:left="44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(2)</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10"/>
        </w:trPr>
        <w:tc>
          <w:tcPr>
            <w:tcW w:w="4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w:t>
            </w:r>
          </w:p>
        </w:tc>
      </w:tr>
      <w:tr>
        <w:trPr>
          <w:trHeight w:val="209"/>
        </w:trPr>
        <w:tc>
          <w:tcPr>
            <w:tcW w:w="4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28,809</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161" w:hanging="324"/>
        <w:spacing w:after="0"/>
        <w:tabs>
          <w:tab w:leader="none" w:pos="116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R&amp;D expenses include non-clinical and preclinical services and other R&amp;D expenditures.</w:t>
      </w:r>
    </w:p>
    <w:p>
      <w:pPr>
        <w:spacing w:after="0" w:line="140" w:lineRule="exact"/>
        <w:rPr>
          <w:rFonts w:ascii="Times New Roman" w:cs="Times New Roman" w:eastAsia="Times New Roman" w:hAnsi="Times New Roman"/>
          <w:sz w:val="16"/>
          <w:szCs w:val="16"/>
          <w:color w:val="auto"/>
        </w:rPr>
      </w:pPr>
    </w:p>
    <w:p>
      <w:pPr>
        <w:ind w:left="1161" w:right="680" w:hanging="324"/>
        <w:spacing w:after="0" w:line="268" w:lineRule="auto"/>
        <w:tabs>
          <w:tab w:leader="none" w:pos="116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Other G&amp;A expenses include insurance, software license fees, non-income state taxes, lease rental expenses and other G&amp;A expenditures.</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5"/>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loss before income taxes is as follows (in thousands):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4"/>
        </w:trPr>
        <w:tc>
          <w:tcPr>
            <w:tcW w:w="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0"/>
        </w:trPr>
        <w:tc>
          <w:tcPr>
            <w:tcW w:w="92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9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(27,592)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r>
      <w:tr>
        <w:trPr>
          <w:trHeight w:val="216"/>
        </w:trPr>
        <w:tc>
          <w:tcPr>
            <w:tcW w:w="920" w:type="dxa"/>
            <w:vAlign w:val="bottom"/>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920" w:type="dxa"/>
            <w:vAlign w:val="bottom"/>
          </w:tcPr>
          <w:p>
            <w:pPr>
              <w:spacing w:after="0"/>
              <w:rPr>
                <w:sz w:val="18"/>
                <w:szCs w:val="18"/>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(27,592)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0"/>
        </w:trPr>
        <w:tc>
          <w:tcPr>
            <w:tcW w:w="9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1"/>
          </w:cols>
          <w:pgMar w:left="1319" w:top="513" w:right="1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5880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13" w:right="1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our income tax provision are as follows (in thousands):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0"/>
        </w:trPr>
        <w:tc>
          <w:tcPr>
            <w:tcW w:w="920" w:type="dxa"/>
            <w:vAlign w:val="bottom"/>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9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4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0" w:type="dxa"/>
            <w:vAlign w:val="bottom"/>
          </w:tcPr>
          <w:p>
            <w:pPr>
              <w:spacing w:after="0"/>
              <w:rPr>
                <w:sz w:val="18"/>
                <w:szCs w:val="18"/>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(8,401)</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16"/>
        </w:trPr>
        <w:tc>
          <w:tcPr>
            <w:tcW w:w="920" w:type="dxa"/>
            <w:vAlign w:val="bottom"/>
          </w:tcPr>
          <w:p>
            <w:pPr>
              <w:spacing w:after="0"/>
              <w:rPr>
                <w:sz w:val="18"/>
                <w:szCs w:val="18"/>
                <w:color w:val="auto"/>
              </w:rPr>
            </w:pPr>
          </w:p>
        </w:tc>
        <w:tc>
          <w:tcPr>
            <w:tcW w:w="4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9"/>
        </w:trPr>
        <w:tc>
          <w:tcPr>
            <w:tcW w:w="920" w:type="dxa"/>
            <w:vAlign w:val="bottom"/>
          </w:tcPr>
          <w:p>
            <w:pPr>
              <w:spacing w:after="0"/>
              <w:rPr>
                <w:sz w:val="18"/>
                <w:szCs w:val="18"/>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(8,401)</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09"/>
        </w:trPr>
        <w:tc>
          <w:tcPr>
            <w:tcW w:w="9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 United States</w:t>
            </w:r>
          </w:p>
        </w:tc>
        <w:tc>
          <w:tcPr>
            <w:tcW w:w="2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8,401</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16"/>
        </w:trPr>
        <w:tc>
          <w:tcPr>
            <w:tcW w:w="920" w:type="dxa"/>
            <w:vAlign w:val="bottom"/>
          </w:tcPr>
          <w:p>
            <w:pPr>
              <w:spacing w:after="0"/>
              <w:rPr>
                <w:sz w:val="18"/>
                <w:szCs w:val="18"/>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 Foreign</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9"/>
        </w:trPr>
        <w:tc>
          <w:tcPr>
            <w:tcW w:w="920" w:type="dxa"/>
            <w:vAlign w:val="bottom"/>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2024 and 2023 was zero percent. A reconciliation between income tax computed at the statutory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statutory rate and the consolidated effective tax rate is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0"/>
        </w:trPr>
        <w:tc>
          <w:tcPr>
            <w:tcW w:w="48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federal statutory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liabilities are as follows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4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operating loss carryforwards</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4,959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458</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7,516</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R&amp;D credit carryforwards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16,114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Valuation allowance - U.S. federal</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(16,077)</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w:t>
            </w:r>
          </w:p>
        </w:tc>
      </w:tr>
      <w:tr>
        <w:trPr>
          <w:trHeight w:val="210"/>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 net of valuation allowance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income tax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realization of our deferred income tax assets is primarily dependent upon future taxable income, if any, and such income is uncertain in both amount and timing. We have had significant pre-tax losses since our inception, and we have not yet generated revenues and face significant challenges to becoming profitable. Accordingly, we have recorded a valuation allowance of $16.1 million and $7.7 million as of December 31, 2024 and 2023, respectively. U.S. federal deferred income tax assets will continue to require a valuation allowance until we can demonstrate their realizability through sustained profitability or another source of income.</w:t>
      </w:r>
    </w:p>
    <w:p>
      <w:pPr>
        <w:sectPr>
          <w:pgSz w:w="11900" w:h="16838" w:orient="portrait"/>
          <w:cols w:equalWidth="0" w:num="1">
            <w:col w:w="9240"/>
          </w:cols>
          <w:pgMar w:left="1320" w:top="513" w:right="1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and 2023, our U.S. federal net operating loss (“NOL”) carryforwards were $18.5 million and $8.8 million, respectively. We had $24 thousand of U.S. federal R&amp;D credit carryforwards as of December 31, 2024 and 2023. As of December 31, 2024 and 2023, we had state NOL carryforwards of $17.4 million and $4.4 million. We had $2 thousand of state R&amp;D credit carryforwards as of December 31, 2024 and 2023. Since our U.S. federal net operating losses were incurred after December 31, 2017, our U.S NOL will not expire. Our state NOL and U.S federal and R&amp;D credit carryforwards will begin to expire in 2042, if not utilized. Lastly, since the foreign subsidiary that generated the foreign losses was dissolved and liquidated in June 2023, the recorded value of foreign NOL and related deferred tax asset have been reduced to zero as of December 31, 2023.</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utilize our NOL and R&amp;D credit carryforwards have been and may be substantially limited due to the ownership changes that have occurred or that could occur in the future, as provided by Section 382 of the Internal Revenue Code of 1986, as amended (the “Code”), and similar state provisions. These ownership changes may limit the amount of NOL and R&amp;D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 of the outstanding stock of a company by certain stockholders or public groups.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interest and/or penalties related to uncertain tax positions in income tax expense. There were no uncertain tax positions as of December 31, 2024 and 2023, and as such, no interest or penalties were recorded to income tax expense.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U.S. corporate tax returns are subject to examination beginning with the 2019 tax year for U.S. federal and state jurisdictions, and beginning with the 2019 tax year for one foreign jurisdiction.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Loss per share of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loss per share of common stock </w:t>
      </w:r>
      <w:r>
        <w:rPr>
          <w:rFonts w:ascii="Times New Roman" w:cs="Times New Roman" w:eastAsia="Times New Roman" w:hAnsi="Times New Roman"/>
          <w:sz w:val="18"/>
          <w:szCs w:val="18"/>
          <w:color w:val="212529"/>
        </w:rPr>
        <w:t>(in thousands, except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per share amounts):</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0"/>
        </w:trPr>
        <w:tc>
          <w:tcPr>
            <w:tcW w:w="4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(27,592)</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basic</w:t>
            </w:r>
          </w:p>
        </w:tc>
        <w:tc>
          <w:tcPr>
            <w:tcW w:w="30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7,757,128</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5,071,101</w:t>
            </w:r>
          </w:p>
        </w:tc>
      </w:tr>
      <w:tr>
        <w:trPr>
          <w:trHeight w:val="216"/>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diluted</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7,757,128</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5,071,101</w:t>
            </w:r>
          </w:p>
        </w:tc>
      </w:tr>
      <w:tr>
        <w:trPr>
          <w:trHeight w:val="197"/>
        </w:trPr>
        <w:tc>
          <w:tcPr>
            <w:tcW w:w="49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per share of common stock, basic and diluted</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(3.56)</w:t>
            </w:r>
          </w:p>
        </w:tc>
        <w:tc>
          <w:tcPr>
            <w:tcW w:w="4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For each of the periods presented in the above table, our basic weighted average shares of common stock include any outstanding (i) November 2022 Series A warrants, (ii) November 2022 Series B warrants, (ii) June 2024 Pre-Funded Warrants and (iii) vested RSUs in which their release was deferred in accordance with the respective award agreement during the respective period.</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Since we reported a net loss for 2024 and 2023, our potentially dilutive securities are deemed to be anti-dilutive, accordingly, there was no effect of dilutive securities. Therefore, our basic and diluted loss per share of common stock and our basic and diluted weighted average shares of common stock are the same for 2024 and 2023.</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securities as of the periods presented which were not included in the calculation of diluted earnings per share of common stock for 2024 and 2023:</w:t>
      </w:r>
    </w:p>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5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48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162,063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141,361</w:t>
            </w:r>
          </w:p>
        </w:tc>
      </w:tr>
      <w:tr>
        <w:trPr>
          <w:trHeight w:val="216"/>
        </w:trPr>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12,875,854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25,976</w:t>
            </w:r>
          </w:p>
        </w:tc>
      </w:tr>
    </w:tbl>
    <w:p>
      <w:pPr>
        <w:spacing w:after="0" w:line="200" w:lineRule="exact"/>
        <w:rPr>
          <w:sz w:val="20"/>
          <w:szCs w:val="20"/>
          <w:color w:val="auto"/>
        </w:rPr>
      </w:pPr>
    </w:p>
    <w:p>
      <w:pPr>
        <w:sectPr>
          <w:pgSz w:w="11900" w:h="16838" w:orient="portrait"/>
          <w:cols w:equalWidth="0" w:num="1">
            <w:col w:w="9240"/>
          </w:cols>
          <w:pgMar w:left="1320" w:top="513" w:right="1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MetaVia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measurement, not an entity specific measurement and is defined as “the price that would be received to sell an asset or paid to transfer a liability in an orderly transaction between market participants at the measurement date.” Fair value measurements are defined on a three-level hierarchy:</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 Unadjusted quoted prices for identical assets or liabilities in active markets;</w:t>
      </w:r>
    </w:p>
    <w:p>
      <w:pPr>
        <w:spacing w:after="0" w:line="158" w:lineRule="exact"/>
        <w:rPr>
          <w:sz w:val="20"/>
          <w:szCs w:val="20"/>
          <w:color w:val="auto"/>
        </w:rPr>
      </w:pPr>
    </w:p>
    <w:p>
      <w:pPr>
        <w:jc w:val="both"/>
        <w:ind w:left="1300" w:right="20" w:hanging="647"/>
        <w:spacing w:after="0" w:line="266" w:lineRule="auto"/>
        <w:rPr>
          <w:sz w:val="20"/>
          <w:szCs w:val="20"/>
          <w:color w:val="auto"/>
        </w:rPr>
      </w:pPr>
      <w:r>
        <w:rPr>
          <w:rFonts w:ascii="Times New Roman" w:cs="Times New Roman" w:eastAsia="Times New Roman" w:hAnsi="Times New Roman"/>
          <w:sz w:val="18"/>
          <w:szCs w:val="18"/>
          <w:color w:val="auto"/>
        </w:rPr>
        <w:t>Level 2: Quoted prices for similar assets and liabilities in active markets, quoted prices in markets that are not active, or inputs which are observable, whether directly or indirectly, for substantially the full term of the asset or liability; and</w:t>
      </w:r>
    </w:p>
    <w:p>
      <w:pPr>
        <w:spacing w:after="0" w:line="95"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Level 3: Unobservable inputs that reflect our own assumptions about the assumptions market participants would use in pricing the asset or liability in which there is little, if any, market activity for the asset or liability at the measurement date.</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our financial assets and liabilities, subject to fair value measurements on a recurring basis, by level within the fair value hierarchy (in thousands):</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3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color w:val="auto"/>
              </w:rPr>
              <w:t>As of December 31, 2024</w:t>
            </w: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Level 1</w:t>
            </w: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$ 361</w:t>
            </w: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$ 658</w:t>
            </w: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$ 361</w:t>
            </w:r>
          </w:p>
        </w:tc>
        <w:tc>
          <w:tcPr>
            <w:tcW w:w="3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w:t>
            </w:r>
          </w:p>
        </w:tc>
        <w:tc>
          <w:tcPr>
            <w:tcW w:w="4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estimated the fair value of our warrant liabilities using the trading market price of our common stock due to a cashless exercise provision of these warrants whereby eight warrants can be exercised for one share of common stock for no additional consideration, which results in the warrant exercise price to be zero. Accordingly, our warrant liabilities were considered to be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58807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513" w:right="1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4.12</w:t>
      </w:r>
    </w:p>
    <w:p>
      <w:pPr>
        <w:spacing w:after="0" w:line="220" w:lineRule="exact"/>
        <w:rPr>
          <w:sz w:val="20"/>
          <w:szCs w:val="20"/>
          <w:color w:val="auto"/>
        </w:rPr>
      </w:pPr>
    </w:p>
    <w:p>
      <w:pPr>
        <w:jc w:val="center"/>
        <w:ind w:right="20"/>
        <w:spacing w:after="0" w:line="277" w:lineRule="auto"/>
        <w:rPr>
          <w:sz w:val="20"/>
          <w:szCs w:val="20"/>
          <w:color w:val="auto"/>
        </w:rPr>
      </w:pPr>
      <w:r>
        <w:rPr>
          <w:rFonts w:ascii="Times New Roman" w:cs="Times New Roman" w:eastAsia="Times New Roman" w:hAnsi="Times New Roman"/>
          <w:sz w:val="21"/>
          <w:szCs w:val="21"/>
          <w:b w:val="1"/>
          <w:bCs w:val="1"/>
          <w:color w:val="auto"/>
        </w:rPr>
        <w:t>DESCRIPTION OF THE REGISTRANT’S SECURITIES REGISTERED PURSUANT TO SECTION 12 OF THE SECURITIES EXCHANGE ACT OF 1934</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summary describes the securities of MetaVia,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registered under Section 12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certain provisions of the Company’s Third Amended and Restated Certificate of Incorporation, as amended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Fourth Amended and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certain provisions of Delaware law. This summary does not purport to be complete and is qualified in its entirety by reference to the full text of our Certificate of Incorporation and our Bylaws, copies of which have been filed with the Securities and Exchange Commission, and the applicable provisions of Delaware law.</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one class of securities registered under Section 12 of the Exchange Act,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authorized capital stock consists of 100,000,000 shares of Common Stock, $0.001 par value per share, and 10,000,000 shares of preferred stock, $0.001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Certificate of Incorporation, such as the provisions relating to amending our Bylaws, procedures for our stockholder meetings, the classified board, director liability, and amendments requirements of our Certificate of Incorporation.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the holders of Common Stock are entitled to receive ratably dividends, if any, as may be declared by the Board of Directors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or Winding Up</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 and Preferences</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or conversion rights or other subscription rights and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27"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2022, we entered into the Investor Rights Agreement with Dong-A pursuant to which, Dong-A ST Co. Ltd. (“</w:t>
      </w:r>
      <w:r>
        <w:rPr>
          <w:rFonts w:ascii="Times New Roman" w:cs="Times New Roman" w:eastAsia="Times New Roman" w:hAnsi="Times New Roman"/>
          <w:sz w:val="18"/>
          <w:szCs w:val="18"/>
          <w:b w:val="1"/>
          <w:bCs w:val="1"/>
          <w:i w:val="1"/>
          <w:iCs w:val="1"/>
          <w:color w:val="auto"/>
        </w:rPr>
        <w:t>Dong-A</w:t>
      </w:r>
      <w:r>
        <w:rPr>
          <w:rFonts w:ascii="Times New Roman" w:cs="Times New Roman" w:eastAsia="Times New Roman" w:hAnsi="Times New Roman"/>
          <w:sz w:val="18"/>
          <w:szCs w:val="18"/>
          <w:color w:val="auto"/>
        </w:rPr>
        <w:t>”) has the right, subject to the terms thereof, to designate for appointment to the Board that number of directors commensurate with Dong-A’s and its affiliates’ beneficial ownership of our common stock, with the number of directors that Dong-A is entitled to designate rounded up to the nearest whole number (“</w:t>
      </w:r>
      <w:r>
        <w:rPr>
          <w:rFonts w:ascii="Times New Roman" w:cs="Times New Roman" w:eastAsia="Times New Roman" w:hAnsi="Times New Roman"/>
          <w:sz w:val="18"/>
          <w:szCs w:val="18"/>
          <w:b w:val="1"/>
          <w:bCs w:val="1"/>
          <w:i w:val="1"/>
          <w:iCs w:val="1"/>
          <w:color w:val="auto"/>
        </w:rPr>
        <w:t>DA Designees</w:t>
      </w:r>
      <w:r>
        <w:rPr>
          <w:rFonts w:ascii="Times New Roman" w:cs="Times New Roman" w:eastAsia="Times New Roman" w:hAnsi="Times New Roman"/>
          <w:sz w:val="18"/>
          <w:szCs w:val="18"/>
          <w:color w:val="auto"/>
        </w:rPr>
        <w:t>”). To the extent necessary to permit the designation of the DA Designees, the size of the Board shall be increased to that number of directors that would permit Dong-A to designate a number of directors to fill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500380</wp:posOffset>
            </wp:positionV>
            <wp:extent cx="64636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6463665" cy="25400"/>
                    </a:xfrm>
                    <a:prstGeom prst="rect">
                      <a:avLst/>
                    </a:prstGeom>
                    <a:noFill/>
                  </pic:spPr>
                </pic:pic>
              </a:graphicData>
            </a:graphic>
          </wp:anchor>
        </w:drawing>
      </w:r>
    </w:p>
    <w:p>
      <w:pPr>
        <w:sectPr>
          <w:pgSz w:w="11900" w:h="16838" w:orient="portrait"/>
          <w:cols w:equalWidth="0" w:num="1">
            <w:col w:w="10180"/>
          </w:cols>
          <w:pgMar w:left="860" w:top="594" w:right="859" w:bottom="1440" w:gutter="0" w:footer="0" w:header="0"/>
        </w:sectPr>
      </w:pPr>
    </w:p>
    <w:bookmarkStart w:id="116" w:name="page117"/>
    <w:bookmarkEnd w:id="116"/>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vacancies created thereby that is commensurate with Dong-A’s and its affiliates’ collective beneficial ownership of the common stock outstanding at such time (taking into account any DA Designees already serving on the Board at such time). For so long as Dong-A has the right to designate any DA Designee to the Board, Dong-A will vote their shares of our common stock in favor of any Company Director (as defined in the Investor Rights Agreement) or any nominee designated by the Nominating and Corporate Governance Committee of the Board and against the removal of any Company Director, in each case, at any meeting of the stockholders of the Company.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Registration Rights — 2022 Registration Rights Agreement</w:t>
      </w:r>
    </w:p>
    <w:p>
      <w:pPr>
        <w:spacing w:after="0" w:line="227"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18"/>
          <w:szCs w:val="18"/>
          <w:color w:val="auto"/>
        </w:rPr>
        <w:t>On September 14, 2022, we entered into the 2022 Registration Rights Agreement with Dong-A and the other parties thereto. The 2022 Registration Rights Agreement provides Dong-A with demand and piggyback registration rights, including the right to two long-form registration statements. In addition, we agreed to file a registration statement to register the shares of common stock issuable upon any common stock held by the parties to the 2022 Registration Rights Agreement and to use commercially reasonable efforts to cause each registration statement to be declared effective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as promptly as possible after the filing thereof. We also agreed to use our commercially reasonable efforts to keep such registration statement continuously effective under the Securities Act until the date that all securities covered by such registration statement have been sold or are otherwise able to be sold pursuant to Rule 144.</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Registration Rights — 2024 Registration Rights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23, 2024, we entered into the 2024 Registration Rights Agreement with Dong-A and Armistice Capital Master Fund Ltd. The 2024 Registration Rights Agreement provides Dong-A and Armistice Capital Master Fund Ltd., among other things, with registration rights for the shares of common stock, as well as the shares of Common Stock underlying warrants, in each case issued in June 2024. We also agreed to use our commercially reasonable efforts to keep such registration statement continuously effective under the Securities Act until the date that all securities covered by such registration statement have been sold or are otherwise able to be sold pursuant to Rule 144.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Board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any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decreasing the market price of our Common Stock and could also have the effect of delaying, deferring or preventing a change of control or other corporate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2018, we entered into a First Amendment to the Loan and Security Agreement (the “</w:t>
      </w:r>
      <w:r>
        <w:rPr>
          <w:rFonts w:ascii="Times New Roman" w:cs="Times New Roman" w:eastAsia="Times New Roman" w:hAnsi="Times New Roman"/>
          <w:sz w:val="18"/>
          <w:szCs w:val="18"/>
          <w:b w:val="1"/>
          <w:bCs w:val="1"/>
          <w:i w:val="1"/>
          <w:iCs w:val="1"/>
          <w:color w:val="auto"/>
        </w:rPr>
        <w:t>Loan and Security Agreement</w:t>
      </w:r>
      <w:r>
        <w:rPr>
          <w:rFonts w:ascii="Times New Roman" w:cs="Times New Roman" w:eastAsia="Times New Roman" w:hAnsi="Times New Roman"/>
          <w:sz w:val="18"/>
          <w:szCs w:val="18"/>
          <w:color w:val="auto"/>
        </w:rPr>
        <w:t>”), as borrower, with Silicon Valley Bank (“</w:t>
      </w:r>
      <w:r>
        <w:rPr>
          <w:rFonts w:ascii="Times New Roman" w:cs="Times New Roman" w:eastAsia="Times New Roman" w:hAnsi="Times New Roman"/>
          <w:sz w:val="18"/>
          <w:szCs w:val="18"/>
          <w:b w:val="1"/>
          <w:bCs w:val="1"/>
          <w:i w:val="1"/>
          <w:iCs w:val="1"/>
          <w:color w:val="auto"/>
        </w:rPr>
        <w:t>SVB</w:t>
      </w:r>
      <w:r>
        <w:rPr>
          <w:rFonts w:ascii="Times New Roman" w:cs="Times New Roman" w:eastAsia="Times New Roman" w:hAnsi="Times New Roman"/>
          <w:sz w:val="18"/>
          <w:szCs w:val="18"/>
          <w:color w:val="auto"/>
        </w:rPr>
        <w:t>”), as lender. In connection with the Loan and Security Agreement, we issued to SVB in a private placement pursuant to Section 4(a)(2) of the Securities Act, a warrant to purchase 36,000 shares of Common Stock (the “</w:t>
      </w:r>
      <w:r>
        <w:rPr>
          <w:rFonts w:ascii="Times New Roman" w:cs="Times New Roman" w:eastAsia="Times New Roman" w:hAnsi="Times New Roman"/>
          <w:sz w:val="18"/>
          <w:szCs w:val="18"/>
          <w:b w:val="1"/>
          <w:bCs w:val="1"/>
          <w:i w:val="1"/>
          <w:iCs w:val="1"/>
          <w:color w:val="auto"/>
        </w:rPr>
        <w:t>SVB Warrant</w:t>
      </w:r>
      <w:r>
        <w:rPr>
          <w:rFonts w:ascii="Times New Roman" w:cs="Times New Roman" w:eastAsia="Times New Roman" w:hAnsi="Times New Roman"/>
          <w:sz w:val="18"/>
          <w:szCs w:val="18"/>
          <w:color w:val="auto"/>
        </w:rPr>
        <w:t>”), at an exercise price of $7.47 per share. As of December 31, 2024, the SVB Warrant was exercisable for 6 shares of our Common Stock at an exercise price of $44,820 per share.</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2020, in connection with a securities purchase agreement, we issued to H.C. Wainwright &amp; Co., LLC and certain of its designees in a private placement pursuant to Section 4(a)(2) of the Securities Act, a warrant to purchase up to 37,500 shares of our Common Stock, at an exercise price of $12.50 per share (the “</w:t>
      </w:r>
      <w:r>
        <w:rPr>
          <w:rFonts w:ascii="Times New Roman" w:cs="Times New Roman" w:eastAsia="Times New Roman" w:hAnsi="Times New Roman"/>
          <w:sz w:val="18"/>
          <w:szCs w:val="18"/>
          <w:b w:val="1"/>
          <w:bCs w:val="1"/>
          <w:i w:val="1"/>
          <w:iCs w:val="1"/>
          <w:color w:val="auto"/>
        </w:rPr>
        <w:t>April 2020 Warrant</w:t>
      </w:r>
      <w:r>
        <w:rPr>
          <w:rFonts w:ascii="Times New Roman" w:cs="Times New Roman" w:eastAsia="Times New Roman" w:hAnsi="Times New Roman"/>
          <w:sz w:val="18"/>
          <w:szCs w:val="18"/>
          <w:color w:val="auto"/>
        </w:rPr>
        <w:t>”). As of December 31, 2024, the April 2020 Warrant was exercisable for 159 shares of our Common Stock at an exercise price of $3,000 per share.</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In January 2021, in connection with a securities purchase agreement, we issued to certain institutional investors in a private placement pursuant to Section 4(a)(2) of the Securities Act, a warrant to purchase up to 2,500,000 shares of our Common Stock, at an exercise price of $4.00 per share (the “</w:t>
      </w:r>
      <w:r>
        <w:rPr>
          <w:rFonts w:ascii="Times New Roman" w:cs="Times New Roman" w:eastAsia="Times New Roman" w:hAnsi="Times New Roman"/>
          <w:sz w:val="18"/>
          <w:szCs w:val="18"/>
          <w:b w:val="1"/>
          <w:bCs w:val="1"/>
          <w:i w:val="1"/>
          <w:iCs w:val="1"/>
          <w:color w:val="auto"/>
        </w:rPr>
        <w:t>January 2021 Warrant</w:t>
      </w:r>
      <w:r>
        <w:rPr>
          <w:rFonts w:ascii="Times New Roman" w:cs="Times New Roman" w:eastAsia="Times New Roman" w:hAnsi="Times New Roman"/>
          <w:sz w:val="18"/>
          <w:szCs w:val="18"/>
          <w:color w:val="auto"/>
        </w:rPr>
        <w:t>”). As of December 31, 2024, the January 2021 Warrant was exercisable for 10,421 shares of our Common Stock at an exercise price of $1,447.20 per share.</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October 2021, in connection with a securities purchase agreement, we issued to certain institutional investors in a private placement pursuant to Section 4(a)(2) of the Securities Act, a warrant to purchase up to 4,307,693 shares of our Common Stock, at an exercise price of $3.75 per share (the “</w:t>
      </w:r>
      <w:r>
        <w:rPr>
          <w:rFonts w:ascii="Times New Roman" w:cs="Times New Roman" w:eastAsia="Times New Roman" w:hAnsi="Times New Roman"/>
          <w:sz w:val="18"/>
          <w:szCs w:val="18"/>
          <w:b w:val="1"/>
          <w:bCs w:val="1"/>
          <w:i w:val="1"/>
          <w:iCs w:val="1"/>
          <w:color w:val="auto"/>
        </w:rPr>
        <w:t>October 2021 Warrant</w:t>
      </w:r>
      <w:r>
        <w:rPr>
          <w:rFonts w:ascii="Times New Roman" w:cs="Times New Roman" w:eastAsia="Times New Roman" w:hAnsi="Times New Roman"/>
          <w:sz w:val="18"/>
          <w:szCs w:val="18"/>
          <w:color w:val="auto"/>
        </w:rPr>
        <w:t>”). As of December 31, 2024, the October 2021 Warrant was exercisable for 17,955 shares of our Common Stock at an exercise price of $900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622935</wp:posOffset>
            </wp:positionV>
            <wp:extent cx="64636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6463665" cy="25400"/>
                    </a:xfrm>
                    <a:prstGeom prst="rect">
                      <a:avLst/>
                    </a:prstGeom>
                    <a:noFill/>
                  </pic:spPr>
                </pic:pic>
              </a:graphicData>
            </a:graphic>
          </wp:anchor>
        </w:drawing>
      </w:r>
    </w:p>
    <w:p>
      <w:pPr>
        <w:sectPr>
          <w:pgSz w:w="11900" w:h="16838" w:orient="portrait"/>
          <w:cols w:equalWidth="0" w:num="1">
            <w:col w:w="10180"/>
          </w:cols>
          <w:pgMar w:left="860" w:top="918" w:right="859" w:bottom="1440" w:gutter="0" w:footer="0" w:header="0"/>
        </w:sectPr>
      </w:pPr>
    </w:p>
    <w:bookmarkStart w:id="117" w:name="page118"/>
    <w:bookmarkEnd w:id="117"/>
    <w:p>
      <w:pPr>
        <w:jc w:val="both"/>
        <w:ind w:left="3" w:firstLine="648"/>
        <w:spacing w:after="0" w:line="252" w:lineRule="auto"/>
        <w:rPr>
          <w:sz w:val="20"/>
          <w:szCs w:val="20"/>
          <w:color w:val="auto"/>
        </w:rPr>
      </w:pPr>
      <w:r>
        <w:rPr>
          <w:rFonts w:ascii="Times New Roman" w:cs="Times New Roman" w:eastAsia="Times New Roman" w:hAnsi="Times New Roman"/>
          <w:sz w:val="18"/>
          <w:szCs w:val="18"/>
          <w:color w:val="auto"/>
        </w:rPr>
        <w:t>In June 2024, we issued to Armistice Capital Master Fund Ltd and Dong-A in a private placement pursuant to Section 4(a)(2) of the Securities Act, (i) the pre-funded warrants to purchase up to 1,781,171 shares of Common Stock at an exercise price of $0.001 per share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(ii) the Series A warrants to purchase 5,089,060 shares of Common Stock at an exercise price of $3.93 per share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(iii) the Series B warrants to purchase up to 7,633,591 shares of Common Stock at an exercise price of $3.93 per share (the “</w:t>
      </w:r>
      <w:r>
        <w:rPr>
          <w:rFonts w:ascii="Times New Roman" w:cs="Times New Roman" w:eastAsia="Times New Roman" w:hAnsi="Times New Roman"/>
          <w:sz w:val="18"/>
          <w:szCs w:val="18"/>
          <w:b w:val="1"/>
          <w:bCs w:val="1"/>
          <w:i w:val="1"/>
          <w:iCs w:val="1"/>
          <w:color w:val="auto"/>
        </w:rPr>
        <w:t>Series B Warrants</w:t>
      </w:r>
      <w:r>
        <w:rPr>
          <w:rFonts w:ascii="Times New Roman" w:cs="Times New Roman" w:eastAsia="Times New Roman" w:hAnsi="Times New Roman"/>
          <w:sz w:val="18"/>
          <w:szCs w:val="18"/>
          <w:color w:val="auto"/>
        </w:rPr>
        <w:t>”). As of December 31, 2024, the Pre-Funded Warrants were exercisable for up to 1,430,000 shares of our Common Stock at an exercise price of $0.0001 per share, the Series A Warrants were exercisable for up to 5,089,060 shares of our Common Stock at an exercise price of $3.93 per share, and our Series B Warrants were exercisable for 7,633,591 shares of our Common Stock at an exercise price of $3.93 per share.</w:t>
      </w:r>
    </w:p>
    <w:p>
      <w:pPr>
        <w:spacing w:after="0" w:line="192"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8"/>
          <w:szCs w:val="18"/>
          <w:color w:val="auto"/>
        </w:rPr>
        <w:t>In June 2024, we issued to H.C. Wainwright &amp; Co., LLC and certain of its designees in a private placement pursuant to Section 4(a)</w:t>
      </w:r>
    </w:p>
    <w:p>
      <w:pPr>
        <w:spacing w:after="0" w:line="27" w:lineRule="exact"/>
        <w:rPr>
          <w:sz w:val="20"/>
          <w:szCs w:val="20"/>
          <w:color w:val="auto"/>
        </w:rPr>
      </w:pPr>
    </w:p>
    <w:p>
      <w:pPr>
        <w:jc w:val="both"/>
        <w:ind w:left="3" w:right="20" w:hanging="3"/>
        <w:spacing w:after="0" w:line="247" w:lineRule="auto"/>
        <w:tabs>
          <w:tab w:leader="none" w:pos="2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a warrant to purchase up to 127,227 shares of Common Stock at an exercise price of $4.9125 per share (the “</w:t>
      </w:r>
      <w:r>
        <w:rPr>
          <w:rFonts w:ascii="Times New Roman" w:cs="Times New Roman" w:eastAsia="Times New Roman" w:hAnsi="Times New Roman"/>
          <w:sz w:val="18"/>
          <w:szCs w:val="18"/>
          <w:b w:val="1"/>
          <w:bCs w:val="1"/>
          <w:i w:val="1"/>
          <w:iCs w:val="1"/>
          <w:color w:val="auto"/>
        </w:rPr>
        <w:t>Placement Agent Warrants</w:t>
      </w:r>
      <w:r>
        <w:rPr>
          <w:rFonts w:ascii="Times New Roman" w:cs="Times New Roman" w:eastAsia="Times New Roman" w:hAnsi="Times New Roman"/>
          <w:sz w:val="18"/>
          <w:szCs w:val="18"/>
          <w:color w:val="auto"/>
        </w:rPr>
        <w:t>”). As of December 31, 2024, the Placement Agent Warrants were exercisable for 127,227 shares of our Common Stock at an exercise price of $4.9125 per share.</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9" w:lineRule="exact"/>
        <w:rPr>
          <w:sz w:val="20"/>
          <w:szCs w:val="20"/>
          <w:color w:val="auto"/>
        </w:rPr>
      </w:pPr>
    </w:p>
    <w:p>
      <w:pPr>
        <w:jc w:val="both"/>
        <w:ind w:left="3" w:right="2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make it more difficult to complete an acquisition of us by means of a tender offer, a proxy contest or otherwise or the removal and replacement of our incumbent officers and directors.</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Board Vacancies; Board Size</w:t>
      </w:r>
    </w:p>
    <w:p>
      <w:pPr>
        <w:spacing w:after="0" w:line="229" w:lineRule="exact"/>
        <w:rPr>
          <w:sz w:val="20"/>
          <w:szCs w:val="20"/>
          <w:color w:val="auto"/>
        </w:rPr>
      </w:pPr>
    </w:p>
    <w:p>
      <w:pPr>
        <w:jc w:val="both"/>
        <w:ind w:left="3" w:right="20"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for the removal of any of our directors only for cause and requires a stockholder vote of at least 66 2/3% of the voting power of the then outstanding voting stock. In addition, our Certificate of Incorporation provides that any vacancy occurring on our Board may be filled by a majority of directors then in office, even if less than a quorum, unless the Board determines that such vacancy shall be filled by the stockholders. Finally, the authorized number of directors may be changed only by a resolution of the Board. This system of removing directors, filling vacancies and fixing the size of the Board makes it more difficult for stockholders to replace a majority of the directors.</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Classes</w:t>
      </w:r>
    </w:p>
    <w:p>
      <w:pPr>
        <w:spacing w:after="0" w:line="229" w:lineRule="exact"/>
        <w:rPr>
          <w:sz w:val="20"/>
          <w:szCs w:val="20"/>
          <w:color w:val="auto"/>
        </w:rPr>
      </w:pPr>
    </w:p>
    <w:p>
      <w:pPr>
        <w:jc w:val="both"/>
        <w:ind w:left="3" w:firstLine="648"/>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Board be divided into three classes of directors, as nearly equal in number as possible, with each class serving a staggered three-year term. The classification system of electing directors may tend to discourage a third-party from making a tender offer or otherwise attempting to obtain control of us since the classification of the Board generally increases the difficulty of replacing a majority of directors.</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ind w:left="3" w:right="2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a special meeting of stockholders may be called only by a resolution adopted by a majority of our Board or by the chair of the Board.</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Stockholder Advance Notice Procedure</w:t>
      </w:r>
    </w:p>
    <w:p>
      <w:pPr>
        <w:spacing w:after="0" w:line="229" w:lineRule="exact"/>
        <w:rPr>
          <w:sz w:val="20"/>
          <w:szCs w:val="20"/>
          <w:color w:val="auto"/>
        </w:rPr>
      </w:pPr>
    </w:p>
    <w:p>
      <w:pPr>
        <w:jc w:val="both"/>
        <w:ind w:left="3" w:firstLine="648"/>
        <w:spacing w:after="0" w:line="218"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stockholders to make nominations of candidates for election as directors or to bring other business before an annual meeting of our stockholders. The Bylaws provide that any stockholder wishing to nominate persons for election as directors at, or bring other business before, an annual meeting must deliver to our secretary a written notice of the stockholder’s intention to do so. To be timely, the stockholder’s notice must be delivered to or mailed and received by us not more than 120 days, and not less than 90 days before the anniversary date of the preceding annual meeting, except that if the annual meeting is set for a date that is not within 30 days before or 30 days after such anniversary date, we must receive the notice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and not later than the close of business on the later of (i)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annual meeting or (ii)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day on which we first made public announcement of the date of meeting. The notice must include the following information:</w:t>
      </w:r>
    </w:p>
    <w:p>
      <w:pPr>
        <w:spacing w:after="0" w:line="190" w:lineRule="exact"/>
        <w:rPr>
          <w:sz w:val="20"/>
          <w:szCs w:val="20"/>
          <w:color w:val="auto"/>
        </w:rPr>
      </w:pPr>
    </w:p>
    <w:p>
      <w:pPr>
        <w:jc w:val="both"/>
        <w:ind w:left="1303" w:right="20" w:hanging="655"/>
        <w:spacing w:after="0" w:line="261" w:lineRule="auto"/>
        <w:tabs>
          <w:tab w:leader="none" w:pos="13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director nominations all information relating to each director nominee that is required by the rules of the SEC to be disclosed in solicitations of proxies, or is otherwise required by Section 14 of the Exchange Act, including Regulation 14A and Rule 14a-19, and a description of all Derivative Transactions (as defined in the Bylaws) by each nominee during the previous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622935</wp:posOffset>
            </wp:positionV>
            <wp:extent cx="64636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6463665" cy="25400"/>
                    </a:xfrm>
                    <a:prstGeom prst="rect">
                      <a:avLst/>
                    </a:prstGeom>
                    <a:noFill/>
                  </pic:spPr>
                </pic:pic>
              </a:graphicData>
            </a:graphic>
          </wp:anchor>
        </w:drawing>
      </w:r>
    </w:p>
    <w:p>
      <w:pPr>
        <w:sectPr>
          <w:pgSz w:w="11900" w:h="16838" w:orient="portrait"/>
          <w:cols w:equalWidth="0" w:num="1">
            <w:col w:w="10183"/>
          </w:cols>
          <w:pgMar w:left="857" w:top="918" w:right="859" w:bottom="1440" w:gutter="0" w:footer="0" w:header="0"/>
        </w:sectPr>
      </w:pPr>
    </w:p>
    <w:bookmarkStart w:id="118" w:name="page119"/>
    <w:bookmarkEnd w:id="118"/>
    <w:p>
      <w:pPr>
        <w:jc w:val="both"/>
        <w:ind w:left="1300" w:hanging="655"/>
        <w:spacing w:after="0" w:line="266"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reasonably brief description of the business to be proposed, the text of the proposal, the reasons for conducting such business at the meeting and, if any, and the stockholder’s material interest in the proposed business; and</w:t>
      </w:r>
    </w:p>
    <w:p>
      <w:pPr>
        <w:spacing w:after="0" w:line="171" w:lineRule="exact"/>
        <w:rPr>
          <w:rFonts w:ascii="Times New Roman" w:cs="Times New Roman" w:eastAsia="Times New Roman" w:hAnsi="Times New Roman"/>
          <w:sz w:val="18"/>
          <w:szCs w:val="18"/>
          <w:color w:val="auto"/>
        </w:rPr>
      </w:pPr>
    </w:p>
    <w:p>
      <w:pPr>
        <w:jc w:val="both"/>
        <w:ind w:left="1300" w:hanging="655"/>
        <w:spacing w:after="0" w:line="26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who intends to make the nomination (the “</w:t>
      </w:r>
      <w:r>
        <w:rPr>
          <w:rFonts w:ascii="Times New Roman" w:cs="Times New Roman" w:eastAsia="Times New Roman" w:hAnsi="Times New Roman"/>
          <w:sz w:val="18"/>
          <w:szCs w:val="18"/>
          <w:b w:val="1"/>
          <w:bCs w:val="1"/>
          <w:i w:val="1"/>
          <w:iCs w:val="1"/>
          <w:color w:val="auto"/>
        </w:rPr>
        <w:t>Notifying Stockholder</w:t>
      </w:r>
      <w:r>
        <w:rPr>
          <w:rFonts w:ascii="Times New Roman" w:cs="Times New Roman" w:eastAsia="Times New Roman" w:hAnsi="Times New Roman"/>
          <w:sz w:val="18"/>
          <w:szCs w:val="18"/>
          <w:color w:val="auto"/>
        </w:rPr>
        <w:t>”), (i) the name and address of the Notifying Stockholder, (ii) the class, series and number of our securities that Notifying Stockholder beneficially owns of record and (iii) a description of any participants, associates, family members living in the same household and any person or entity who is a member of a group with the Notifying Stockholder.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to issue Preferred Stock with voting or other rights or preferences that could have the effect of delaying, deferring, preventing or otherwise impeding any attempt to change control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Company is subject to Section 203 (“</w:t>
      </w:r>
      <w:r>
        <w:rPr>
          <w:rFonts w:ascii="Times New Roman" w:cs="Times New Roman" w:eastAsia="Times New Roman" w:hAnsi="Times New Roman"/>
          <w:sz w:val="18"/>
          <w:szCs w:val="18"/>
          <w:b w:val="1"/>
          <w:bCs w:val="1"/>
          <w:i w:val="1"/>
          <w:iCs w:val="1"/>
          <w:color w:val="auto"/>
        </w:rPr>
        <w:t>Section 203</w:t>
      </w:r>
      <w:r>
        <w:rPr>
          <w:rFonts w:ascii="Times New Roman" w:cs="Times New Roman" w:eastAsia="Times New Roman" w:hAnsi="Times New Roman"/>
          <w:sz w:val="18"/>
          <w:szCs w:val="18"/>
          <w:color w:val="auto"/>
        </w:rPr>
        <w:t>”) of the Delaware General Corporation Law. Section 203 generally prohibits a public Delaware corporation such as us from engaging in a “business combination” with an “interested stockholder” for a period of three years following the time that the stockholder became an interested stockholder, unless:</w:t>
      </w:r>
    </w:p>
    <w:p>
      <w:pPr>
        <w:spacing w:after="0" w:line="175" w:lineRule="exact"/>
        <w:rPr>
          <w:sz w:val="20"/>
          <w:szCs w:val="20"/>
          <w:color w:val="auto"/>
        </w:rPr>
      </w:pPr>
    </w:p>
    <w:p>
      <w:pPr>
        <w:ind w:left="1300" w:hanging="655"/>
        <w:spacing w:after="0" w:line="282"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stockholder became an interested stockholder,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1300" w:hanging="655"/>
        <w:spacing w:after="0" w:line="254"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(i) shares owned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7" w:lineRule="exact"/>
        <w:rPr>
          <w:rFonts w:ascii="Times New Roman" w:cs="Times New Roman" w:eastAsia="Times New Roman" w:hAnsi="Times New Roman"/>
          <w:sz w:val="18"/>
          <w:szCs w:val="18"/>
          <w:color w:val="auto"/>
        </w:rPr>
      </w:pPr>
    </w:p>
    <w:p>
      <w:pPr>
        <w:jc w:val="both"/>
        <w:ind w:left="1300" w:hanging="655"/>
        <w:spacing w:after="0" w:line="266"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1300" w:hanging="655"/>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1300" w:hanging="655"/>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involving the interested stockholder of 10% or more of the assets of the corporation (or its majority-owned subsidiary);</w:t>
      </w:r>
    </w:p>
    <w:p>
      <w:pPr>
        <w:spacing w:after="0" w:line="161" w:lineRule="exact"/>
        <w:rPr>
          <w:rFonts w:ascii="Times New Roman" w:cs="Times New Roman" w:eastAsia="Times New Roman" w:hAnsi="Times New Roman"/>
          <w:sz w:val="18"/>
          <w:szCs w:val="18"/>
          <w:color w:val="auto"/>
        </w:rPr>
      </w:pPr>
    </w:p>
    <w:p>
      <w:pPr>
        <w:ind w:left="1300" w:hanging="655"/>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jc w:val="both"/>
        <w:ind w:left="1300" w:hanging="655"/>
        <w:spacing w:after="0" w:line="26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directly or indirectly, of increasing the proportionate share of the stock or any class or series of the corporation beneficially owned by the interested stockholder; and</w:t>
      </w:r>
    </w:p>
    <w:p>
      <w:pPr>
        <w:spacing w:after="0" w:line="175" w:lineRule="exact"/>
        <w:rPr>
          <w:rFonts w:ascii="Times New Roman" w:cs="Times New Roman" w:eastAsia="Times New Roman" w:hAnsi="Times New Roman"/>
          <w:sz w:val="18"/>
          <w:szCs w:val="18"/>
          <w:color w:val="auto"/>
        </w:rPr>
      </w:pPr>
    </w:p>
    <w:p>
      <w:pPr>
        <w:jc w:val="both"/>
        <w:ind w:left="1300" w:hanging="655"/>
        <w:spacing w:after="0" w:line="266"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directly or indirectly (except proportionately as a stockholder of such corporation), of any loans, advances, guarantees, pledges or other financial benefits, other than certain benefits set forth in Section 203, provided by or through the corporation.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that is an affiliate or associate of such entity or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660400</wp:posOffset>
            </wp:positionV>
            <wp:extent cx="64636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6463665" cy="25400"/>
                    </a:xfrm>
                    <a:prstGeom prst="rect">
                      <a:avLst/>
                    </a:prstGeom>
                    <a:noFill/>
                  </pic:spPr>
                </pic:pic>
              </a:graphicData>
            </a:graphic>
          </wp:anchor>
        </w:drawing>
      </w:r>
    </w:p>
    <w:p>
      <w:pPr>
        <w:sectPr>
          <w:pgSz w:w="11900" w:h="16838" w:orient="portrait"/>
          <w:cols w:equalWidth="0" w:num="1">
            <w:col w:w="10160"/>
          </w:cols>
          <w:pgMar w:left="860" w:top="918" w:right="8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Listing on the Nasdaq Capital Market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“MTVA.”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667385</wp:posOffset>
            </wp:positionV>
            <wp:extent cx="64636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6463665" cy="17145"/>
                    </a:xfrm>
                    <a:prstGeom prst="rect">
                      <a:avLst/>
                    </a:prstGeom>
                    <a:noFill/>
                  </pic:spPr>
                </pic:pic>
              </a:graphicData>
            </a:graphic>
          </wp:anchor>
        </w:drawing>
      </w:r>
    </w:p>
    <w:p>
      <w:pPr>
        <w:sectPr>
          <w:pgSz w:w="11900" w:h="16838" w:orient="portrait"/>
          <w:cols w:equalWidth="0" w:num="1">
            <w:col w:w="9599"/>
          </w:cols>
          <w:pgMar w:left="860" w:top="914" w:right="1440" w:bottom="1440" w:gutter="0" w:footer="0" w:header="0"/>
        </w:sectPr>
      </w:pPr>
    </w:p>
    <w:bookmarkStart w:id="120" w:name="page121"/>
    <w:bookmarkEnd w:id="120"/>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 AGREEMENT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Effective Date: </w:t>
      </w:r>
      <w:r>
        <w:rPr>
          <w:rFonts w:ascii="Times New Roman" w:cs="Times New Roman" w:eastAsia="Times New Roman" w:hAnsi="Times New Roman"/>
          <w:sz w:val="22"/>
          <w:szCs w:val="22"/>
          <w:b w:val="1"/>
          <w:bCs w:val="1"/>
          <w:color w:val="auto"/>
        </w:rPr>
        <w:t>[ ], 20[ ]</w:t>
      </w:r>
    </w:p>
    <w:p>
      <w:pPr>
        <w:spacing w:after="0" w:line="20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is made as of the Effective Date set forth above, between </w:t>
      </w: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whose address is 545 Concord Avenue, Suite 210, Cambridge, Massachusetts 02138, and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ind w:left="200" w:right="239" w:firstLine="657"/>
        <w:spacing w:after="0" w:line="258" w:lineRule="auto"/>
        <w:tabs>
          <w:tab w:leader="none" w:pos="149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desires to attract and retain the services of highly qualified individuals as directors, officers, employees and agents.</w:t>
      </w:r>
    </w:p>
    <w:p>
      <w:pPr>
        <w:spacing w:after="0" w:line="152" w:lineRule="exact"/>
        <w:rPr>
          <w:rFonts w:ascii="Times New Roman" w:cs="Times New Roman" w:eastAsia="Times New Roman" w:hAnsi="Times New Roman"/>
          <w:sz w:val="22"/>
          <w:szCs w:val="22"/>
          <w:b w:val="1"/>
          <w:bCs w:val="1"/>
          <w:color w:val="auto"/>
        </w:rPr>
      </w:pPr>
    </w:p>
    <w:p>
      <w:pPr>
        <w:jc w:val="both"/>
        <w:ind w:left="200" w:right="219" w:firstLine="657"/>
        <w:spacing w:after="0" w:line="236" w:lineRule="auto"/>
        <w:tabs>
          <w:tab w:leader="none" w:pos="149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Company’s Amended and Restated Bylaws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xml:space="preserve">) require that the Company indemnify its directors and executive officers and empowers the Company to indemnify its other officers, employees and agents, as authorized by the General Corporation Law of the State of Delaware, as amended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81" w:lineRule="exact"/>
        <w:rPr>
          <w:rFonts w:ascii="Times New Roman" w:cs="Times New Roman" w:eastAsia="Times New Roman" w:hAnsi="Times New Roman"/>
          <w:sz w:val="22"/>
          <w:szCs w:val="22"/>
          <w:b w:val="1"/>
          <w:bCs w:val="1"/>
          <w:color w:val="auto"/>
        </w:rPr>
      </w:pPr>
    </w:p>
    <w:p>
      <w:pPr>
        <w:jc w:val="both"/>
        <w:ind w:left="200" w:right="219" w:firstLine="657"/>
        <w:spacing w:after="0" w:line="238" w:lineRule="auto"/>
        <w:tabs>
          <w:tab w:leader="none" w:pos="149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Indemnitee does not regard the protection currently provided by applicable law, the Company’s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657"/>
        <w:spacing w:after="0" w:line="244" w:lineRule="auto"/>
        <w:tabs>
          <w:tab w:leader="none" w:pos="149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73" w:lineRule="exact"/>
        <w:rPr>
          <w:rFonts w:ascii="Times New Roman" w:cs="Times New Roman" w:eastAsia="Times New Roman" w:hAnsi="Times New Roman"/>
          <w:sz w:val="22"/>
          <w:szCs w:val="22"/>
          <w:b w:val="1"/>
          <w:bCs w:val="1"/>
          <w:color w:val="auto"/>
        </w:rPr>
      </w:pPr>
    </w:p>
    <w:p>
      <w:pPr>
        <w:jc w:val="both"/>
        <w:ind w:left="200" w:right="239" w:firstLine="657"/>
        <w:spacing w:after="0" w:line="244" w:lineRule="auto"/>
        <w:tabs>
          <w:tab w:leader="none" w:pos="1496"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Indemnitee is willing to serve, or to continue to serve, as a director, officer, employee or agent of the Company, as the case may be, if Indemnitee is furnished the indemnity provided for herein by the Company.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314" w:lineRule="exact"/>
        <w:rPr>
          <w:sz w:val="20"/>
          <w:szCs w:val="20"/>
          <w:color w:val="auto"/>
        </w:rPr>
      </w:pPr>
    </w:p>
    <w:p>
      <w:pPr>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covenants and agreements set forth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intending to be legally bound, hereby agree as follows:</w:t>
      </w:r>
    </w:p>
    <w:p>
      <w:pPr>
        <w:spacing w:after="0" w:line="150" w:lineRule="exact"/>
        <w:rPr>
          <w:sz w:val="20"/>
          <w:szCs w:val="20"/>
          <w:color w:val="auto"/>
        </w:rPr>
      </w:pPr>
    </w:p>
    <w:p>
      <w:pPr>
        <w:ind w:left="1500" w:hanging="643"/>
        <w:spacing w:after="0"/>
        <w:tabs>
          <w:tab w:leader="none" w:pos="15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w:t>
      </w:r>
    </w:p>
    <w:p>
      <w:pPr>
        <w:spacing w:after="0" w:line="204" w:lineRule="exact"/>
        <w:rPr>
          <w:rFonts w:ascii="Times New Roman" w:cs="Times New Roman" w:eastAsia="Times New Roman" w:hAnsi="Times New Roman"/>
          <w:sz w:val="22"/>
          <w:szCs w:val="22"/>
          <w:b w:val="1"/>
          <w:bCs w:val="1"/>
          <w:color w:val="auto"/>
        </w:rPr>
      </w:pPr>
    </w:p>
    <w:p>
      <w:pPr>
        <w:jc w:val="both"/>
        <w:ind w:left="200" w:right="219" w:firstLine="1305"/>
        <w:spacing w:after="0" w:line="239" w:lineRule="auto"/>
        <w:tabs>
          <w:tab w:leader="none" w:pos="2144"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For purposes of this Agreement,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person who: (i) is or was a director, officer, employee or other fiduciary of the Company or a subsidiary of the Company; or (ii) is or was serving at the request or for the convenience of, or representing the interests of, the Company or a subsidiary of the Company, as a director, officer,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1" w:name="page122"/>
    <w:bookmarkEnd w:id="121"/>
    <w:p>
      <w:pPr>
        <w:ind w:left="200" w:right="239"/>
        <w:spacing w:after="0" w:line="258" w:lineRule="auto"/>
        <w:rPr>
          <w:sz w:val="20"/>
          <w:szCs w:val="20"/>
          <w:color w:val="auto"/>
        </w:rPr>
      </w:pPr>
      <w:r>
        <w:rPr>
          <w:rFonts w:ascii="Times New Roman" w:cs="Times New Roman" w:eastAsia="Times New Roman" w:hAnsi="Times New Roman"/>
          <w:sz w:val="22"/>
          <w:szCs w:val="22"/>
          <w:color w:val="auto"/>
        </w:rPr>
        <w:t>employee or other fiduciary of a foreign or domestic corporation, partnership, joint venture, trust or other enterprise.</w:t>
      </w:r>
    </w:p>
    <w:p>
      <w:pPr>
        <w:spacing w:after="0" w:line="153" w:lineRule="exact"/>
        <w:rPr>
          <w:sz w:val="20"/>
          <w:szCs w:val="20"/>
          <w:color w:val="auto"/>
        </w:rPr>
      </w:pPr>
    </w:p>
    <w:p>
      <w:pPr>
        <w:jc w:val="both"/>
        <w:ind w:left="200" w:right="219" w:firstLine="1305"/>
        <w:spacing w:after="0" w:line="243" w:lineRule="auto"/>
        <w:tabs>
          <w:tab w:leader="none" w:pos="2144"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Expenses</w:t>
      </w:r>
      <w:r>
        <w:rPr>
          <w:rFonts w:ascii="Times New Roman" w:cs="Times New Roman" w:eastAsia="Times New Roman" w:hAnsi="Times New Roman"/>
          <w:sz w:val="21"/>
          <w:szCs w:val="21"/>
          <w:color w:val="auto"/>
        </w:rPr>
        <w:t>. For purposes of this Agreement,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broadly construed and shall include, without limitation, (i) all direct and indirect costs of any type or nature whatsoever (including, without limitation, all attorneys’, witness, or other professional fees and related disbursements, other out-of-pocket costs of whatever nature), actually and reasonably incurred by Indemnitee in connection with the investigation, defense, participation in (including as a witness) or appeal of a proceeding or establishing or enforcing a right to indemnification under this Agreement, the DGCL or otherwise, and amounts paid in settlement by or on behalf of Indemnitee, (ii) damages, judgments, fines and amounts paid in settlement and any other amounts that Indemnitee becomes legally obligated to pay (including any federal, state or local taxes imposed on Indemnitee as a result of receipt of reimbursements or advances of expenses under this Agreement) and (iii) the premium, security for, and other costs relating to any costs bond, supersedes bond, or other appeal bond or its equivalent, whether civil, criminal, arbitrational, administrative or investigative with respect to any proceeding, provided that expenses shall not include any judgments, fines or penalties actually levied against Indemnitee for such individual’s violations of law to the extent Section 10 prohibits the Company from indemnifying the Indemnitee for such amounts. The term “expenses” shall also include reasonable compensation for time spent by Indemnitee for which he is not compensated by the Company or any subsidiary or third party (x) for any period during which Indemnitee is not an agent, in the employment of, or providing services for compensation to, the Company or any subsidiary; and (y)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82" w:lineRule="exact"/>
        <w:rPr>
          <w:rFonts w:ascii="Times New Roman" w:cs="Times New Roman" w:eastAsia="Times New Roman" w:hAnsi="Times New Roman"/>
          <w:sz w:val="21"/>
          <w:szCs w:val="21"/>
          <w:b w:val="1"/>
          <w:bCs w:val="1"/>
          <w:color w:val="auto"/>
        </w:rPr>
      </w:pPr>
    </w:p>
    <w:p>
      <w:pPr>
        <w:jc w:val="both"/>
        <w:ind w:left="200" w:right="219" w:firstLine="1305"/>
        <w:spacing w:after="0" w:line="233" w:lineRule="auto"/>
        <w:tabs>
          <w:tab w:leader="none" w:pos="2144"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Proceedings</w:t>
      </w:r>
      <w:r>
        <w:rPr>
          <w:rFonts w:ascii="Times New Roman" w:cs="Times New Roman" w:eastAsia="Times New Roman" w:hAnsi="Times New Roman"/>
          <w:sz w:val="22"/>
          <w:szCs w:val="22"/>
          <w:color w:val="auto"/>
        </w:rPr>
        <w:t>. For purposes of this Agreement, the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broadly construed and shall include, without limitation,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or participant (including as a witness) or otherwise by reason of: (i) the fact that Indemnitee is or was a director, officer or agent of the Company; (ii) any action taken by Indemnitee or any action on Indemnitee’s part while acting as director, officer, employee or agent of the Company;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w:t>
      </w:r>
    </w:p>
    <w:p>
      <w:pPr>
        <w:spacing w:after="0" w:line="177" w:lineRule="exact"/>
        <w:rPr>
          <w:rFonts w:ascii="Times New Roman" w:cs="Times New Roman" w:eastAsia="Times New Roman" w:hAnsi="Times New Roman"/>
          <w:sz w:val="22"/>
          <w:szCs w:val="22"/>
          <w:b w:val="1"/>
          <w:bCs w:val="1"/>
          <w:color w:val="auto"/>
        </w:rPr>
      </w:pPr>
    </w:p>
    <w:p>
      <w:pPr>
        <w:jc w:val="both"/>
        <w:ind w:left="200" w:right="219" w:firstLine="1305"/>
        <w:spacing w:after="0" w:line="257" w:lineRule="auto"/>
        <w:tabs>
          <w:tab w:leader="none" w:pos="2144"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For purposes of this Agreement,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“subsidiary</w:t>
      </w:r>
      <w:r>
        <w:rPr>
          <w:rFonts w:ascii="Times New Roman" w:cs="Times New Roman" w:eastAsia="Times New Roman" w:hAnsi="Times New Roman"/>
          <w:sz w:val="21"/>
          <w:szCs w:val="21"/>
          <w:color w:val="auto"/>
        </w:rPr>
        <w:t>” means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corporation or limited liability company of which more than 50% of the outstanding voting securities or equity interests are owned, directly or indirectly, by the Company and one or more of its subsidiaries, and any other corporation, limited liability company, partnership, joint venture,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2" w:name="page123"/>
    <w:bookmarkEnd w:id="122"/>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trust, employee benefit plan or other enterprise of which Indemnitee is or was serving at the request of the Company as a director, officer, employee, agent or fiduciary.</w:t>
      </w:r>
    </w:p>
    <w:p>
      <w:pPr>
        <w:spacing w:after="0" w:line="155" w:lineRule="exact"/>
        <w:rPr>
          <w:sz w:val="20"/>
          <w:szCs w:val="20"/>
          <w:color w:val="auto"/>
        </w:rPr>
      </w:pPr>
    </w:p>
    <w:p>
      <w:pPr>
        <w:jc w:val="both"/>
        <w:ind w:left="200" w:right="219" w:firstLine="1305"/>
        <w:spacing w:after="0" w:line="250" w:lineRule="auto"/>
        <w:tabs>
          <w:tab w:leader="none" w:pos="2144" w:val="left"/>
        </w:tabs>
        <w:numPr>
          <w:ilvl w:val="2"/>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Independent Counsel</w:t>
      </w:r>
      <w:r>
        <w:rPr>
          <w:rFonts w:ascii="Times New Roman" w:cs="Times New Roman" w:eastAsia="Times New Roman" w:hAnsi="Times New Roman"/>
          <w:sz w:val="21"/>
          <w:szCs w:val="21"/>
          <w:color w:val="auto"/>
        </w:rPr>
        <w:t>. For purposes of this Agreement,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 xml:space="preserve">“independent counsel” </w:t>
      </w:r>
      <w:r>
        <w:rPr>
          <w:rFonts w:ascii="Times New Roman" w:cs="Times New Roman" w:eastAsia="Times New Roman" w:hAnsi="Times New Roman"/>
          <w:sz w:val="21"/>
          <w:szCs w:val="21"/>
          <w:color w:val="auto"/>
        </w:rPr>
        <w:t>means a law firm, or a partner (or, if applicable, member) of such a law</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firm, that is experienced in matters of corporation law and neither presently is, nor in the past five</w:t>
      </w:r>
    </w:p>
    <w:p>
      <w:pPr>
        <w:spacing w:after="0" w:line="2" w:lineRule="exact"/>
        <w:rPr>
          <w:rFonts w:ascii="Times New Roman" w:cs="Times New Roman" w:eastAsia="Times New Roman" w:hAnsi="Times New Roman"/>
          <w:sz w:val="21"/>
          <w:szCs w:val="21"/>
          <w:b w:val="1"/>
          <w:bCs w:val="1"/>
          <w:color w:val="auto"/>
        </w:rPr>
      </w:pPr>
    </w:p>
    <w:p>
      <w:pPr>
        <w:jc w:val="both"/>
        <w:ind w:left="200" w:right="219" w:firstLine="9"/>
        <w:spacing w:after="0" w:line="232" w:lineRule="auto"/>
        <w:tabs>
          <w:tab w:leader="none" w:pos="51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2"/>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to the Fullest Extent</w:t>
      </w:r>
      <w:r>
        <w:rPr>
          <w:rFonts w:ascii="Times New Roman" w:cs="Times New Roman" w:eastAsia="Times New Roman" w:hAnsi="Times New Roman"/>
          <w:sz w:val="22"/>
          <w:szCs w:val="22"/>
          <w:color w:val="auto"/>
        </w:rPr>
        <w:t>. For purposes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meaning of the phrase </w:t>
      </w:r>
      <w:r>
        <w:rPr>
          <w:rFonts w:ascii="Times New Roman" w:cs="Times New Roman" w:eastAsia="Times New Roman" w:hAnsi="Times New Roman"/>
          <w:sz w:val="22"/>
          <w:szCs w:val="22"/>
          <w:b w:val="1"/>
          <w:bCs w:val="1"/>
          <w:i w:val="1"/>
          <w:iCs w:val="1"/>
          <w:color w:val="auto"/>
        </w:rPr>
        <w:t>“to the fullest extent authorized or permitted by law”</w:t>
      </w:r>
      <w:r>
        <w:rPr>
          <w:rFonts w:ascii="Times New Roman" w:cs="Times New Roman" w:eastAsia="Times New Roman" w:hAnsi="Times New Roman"/>
          <w:sz w:val="22"/>
          <w:szCs w:val="22"/>
          <w:color w:val="auto"/>
        </w:rPr>
        <w:t xml:space="preserve"> shall include, but not be limited to: (i) to the fullest extent authorized or permitted by the provision of the DGCL that authorizes or contemplates additional indemnification by agreement, or the corresponding provision of any amendment to or replacement of the DGCL or such provision thereof; and (ii) to the fullest extent authorized or permitted by any amendments to or replacements of the DGCL adopted after the date of this Agreement that increase the extent to which a corporation may indemnify its directors and officers.</w:t>
      </w:r>
    </w:p>
    <w:p>
      <w:pPr>
        <w:spacing w:after="0" w:line="178"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 to</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2"/>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Indemnitee will serve, or continue to serve, as a director, officer, employee or agent of the Company or any subsidiary, as the case may be, faithfully and to the best of his or her ability, at the will of such corporation (or under separate agreement, if such agreement exists), in the capacity Indemnitee currently serves as an agent of such corporation, so long as Indemnitee is duly appointed or elected and qualified in accordance with the applicable provisions of the Bylaws or other applicable charter documents of such corporation,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179" w:lineRule="exact"/>
        <w:rPr>
          <w:rFonts w:ascii="Times New Roman" w:cs="Times New Roman" w:eastAsia="Times New Roman" w:hAnsi="Times New Roman"/>
          <w:sz w:val="22"/>
          <w:szCs w:val="22"/>
          <w:b w:val="1"/>
          <w:bCs w:val="1"/>
          <w:color w:val="auto"/>
        </w:rPr>
      </w:pPr>
    </w:p>
    <w:p>
      <w:pPr>
        <w:jc w:val="both"/>
        <w:ind w:left="200" w:right="219" w:firstLine="1305"/>
        <w:spacing w:after="0" w:line="238" w:lineRule="auto"/>
        <w:tabs>
          <w:tab w:leader="none" w:pos="2144" w:val="left"/>
        </w:tabs>
        <w:numPr>
          <w:ilvl w:val="2"/>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acknowledges that it has entered into this Agreement and assumes the obligations imposed on it hereby, in addition to and separate from its obligations to Indemnitee under the Bylaws, to induce Indemnitee to serve, or continue to serve, as a director, officer, employee or agent of the Company, and the Company acknowledges that Indemnitee is relying upon this Agreement in serving as a director, officer, employee or agent of the Company.</w:t>
      </w:r>
    </w:p>
    <w:p>
      <w:pPr>
        <w:spacing w:after="0" w:line="172"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ndemnification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ontribution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2"/>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in Third Party Proceedings</w:t>
      </w:r>
      <w:r>
        <w:rPr>
          <w:rFonts w:ascii="Times New Roman" w:cs="Times New Roman" w:eastAsia="Times New Roman" w:hAnsi="Times New Roman"/>
          <w:sz w:val="22"/>
          <w:szCs w:val="22"/>
          <w:color w:val="auto"/>
        </w:rPr>
        <w:t>. Subject to Section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the Company shall indemnify Indemnitee to the fullest extent authorized or permitted by law, including the DGCL, as the same may be amended from time to time (but, only to the extent that such amendment permits Indemnitee to broader indemnification rights than the DGCL</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3" w:name="page124"/>
    <w:bookmarkEnd w:id="123"/>
    <w:p>
      <w:pPr>
        <w:jc w:val="both"/>
        <w:ind w:left="200" w:right="219"/>
        <w:spacing w:after="0"/>
        <w:rPr>
          <w:sz w:val="20"/>
          <w:szCs w:val="20"/>
          <w:color w:val="auto"/>
        </w:rPr>
      </w:pPr>
      <w:r>
        <w:rPr>
          <w:rFonts w:ascii="Times New Roman" w:cs="Times New Roman" w:eastAsia="Times New Roman" w:hAnsi="Times New Roman"/>
          <w:sz w:val="22"/>
          <w:szCs w:val="22"/>
          <w:color w:val="auto"/>
        </w:rPr>
        <w:t>permitted prior to adoption of such amendment), if Indemnitee is a party to or threatened to be made a party to or otherwise involved in (including as a witness) any proceeding, for any and all expenses, actually and reasonably incurred by or on behalf of Indemnitee in connection with the investigation, defense, settlement or appeal of such proceeding.</w:t>
      </w:r>
    </w:p>
    <w:p>
      <w:pPr>
        <w:spacing w:after="0" w:line="173" w:lineRule="exact"/>
        <w:rPr>
          <w:sz w:val="20"/>
          <w:szCs w:val="20"/>
          <w:color w:val="auto"/>
        </w:rPr>
      </w:pPr>
    </w:p>
    <w:p>
      <w:pPr>
        <w:jc w:val="both"/>
        <w:ind w:left="200" w:right="219" w:firstLine="1305"/>
        <w:spacing w:after="0" w:line="235" w:lineRule="auto"/>
        <w:tabs>
          <w:tab w:leader="none" w:pos="2144"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in Derivative Actions and Direct Actions by the Company</w:t>
      </w:r>
      <w:r>
        <w:rPr>
          <w:rFonts w:ascii="Times New Roman" w:cs="Times New Roman" w:eastAsia="Times New Roman" w:hAnsi="Times New Roman"/>
          <w:sz w:val="22"/>
          <w:szCs w:val="22"/>
          <w:color w:val="auto"/>
        </w:rPr>
        <w:t>. Subject to Section 10 below, the Company shall indemnify Indemnitee to the fullest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authorized or permitted by law, including the DGCL, as the same may be amended from time to time (but, only to the extent that such amendment permits Indemnitee to broader indemnification rights than the DGCL permitted prior to adoption of such amendment), if Indemnitee is a party to or threatened to be made a party to or otherwise involved in (including as a witness) any proceeding by or in the right of the Company to procure a judgment in its favor, against any and all expenses actually and reasonably incurred by or on behalf of Indemnitee in connection with the investigation, defense, settlement, or appeal of such proceedings.</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 of Related Parties. </w:t>
      </w:r>
      <w:r>
        <w:rPr>
          <w:rFonts w:ascii="Times New Roman" w:cs="Times New Roman" w:eastAsia="Times New Roman" w:hAnsi="Times New Roman"/>
          <w:sz w:val="22"/>
          <w:szCs w:val="22"/>
          <w:color w:val="auto"/>
        </w:rPr>
        <w:t>If (i) Indemnitee is or was affiliated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one or more venture capital funds that has invested in the Company (an </w:t>
      </w:r>
      <w:r>
        <w:rPr>
          <w:rFonts w:ascii="Times New Roman" w:cs="Times New Roman" w:eastAsia="Times New Roman" w:hAnsi="Times New Roman"/>
          <w:sz w:val="22"/>
          <w:szCs w:val="22"/>
          <w:b w:val="1"/>
          <w:bCs w:val="1"/>
          <w:i w:val="1"/>
          <w:iCs w:val="1"/>
          <w:color w:val="auto"/>
        </w:rPr>
        <w:t>“Appointing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Stockholder”</w:t>
      </w:r>
      <w:r>
        <w:rPr>
          <w:rFonts w:ascii="Times New Roman" w:cs="Times New Roman" w:eastAsia="Times New Roman" w:hAnsi="Times New Roman"/>
          <w:sz w:val="22"/>
          <w:szCs w:val="22"/>
          <w:color w:val="auto"/>
        </w:rPr>
        <w:t>), (ii) the Appointing Stockholder is, or is threatened to be made, a party to or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participant in any proceeding, and (iii) the Appointing Stockholder’s involvement in the proceeding is related to Indemnitee’s service to the Company as a director of the Company or any direct or indirect subsidiaries of the Company, then, to the extent resulting from any claim based on the Indemnitee’s service to the Company as a director or other fiduciary of the Company, the Appointing Stockholder will be entitled to indemnification hereunder for reasonable expenses to the same extent as Indemnitee.</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32" w:lineRule="auto"/>
        <w:tabs>
          <w:tab w:leader="none" w:pos="2144"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Fund Indemnitors. </w:t>
      </w:r>
      <w:r>
        <w:rPr>
          <w:rFonts w:ascii="Times New Roman" w:cs="Times New Roman" w:eastAsia="Times New Roman" w:hAnsi="Times New Roman"/>
          <w:sz w:val="22"/>
          <w:szCs w:val="22"/>
          <w:color w:val="auto"/>
        </w:rPr>
        <w:t>The Company hereby acknowledges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Indemnitee has or may have in the future certain rights to indemnification, advancement of expenses and/or insurance provided by entities and/or organizations other than the Company (collectively, the </w:t>
      </w:r>
      <w:r>
        <w:rPr>
          <w:rFonts w:ascii="Times New Roman" w:cs="Times New Roman" w:eastAsia="Times New Roman" w:hAnsi="Times New Roman"/>
          <w:sz w:val="22"/>
          <w:szCs w:val="22"/>
          <w:b w:val="1"/>
          <w:bCs w:val="1"/>
          <w:i w:val="1"/>
          <w:iCs w:val="1"/>
          <w:color w:val="auto"/>
        </w:rPr>
        <w:t>“Fund Indemnitors”</w:t>
      </w:r>
      <w:r>
        <w:rPr>
          <w:rFonts w:ascii="Times New Roman" w:cs="Times New Roman" w:eastAsia="Times New Roman" w:hAnsi="Times New Roman"/>
          <w:sz w:val="22"/>
          <w:szCs w:val="22"/>
          <w:color w:val="auto"/>
        </w:rPr>
        <w:t>). In the event that the Indemnitee is, or is threatened to be made, a party to or a participant in any proceeding to the extent resulting from any claim based on the Indemnitee’s service to the Company as a director or other fiduciary of the Company, then the Company shall (i) be an indemnitor of first resort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its obligations to Indemnitee are primary and any obligation of the Fund Indemnitors to advance expenses or to provide indemnification for the same expenses or liabilities incurred by Indemnitee are secondary), (ii) be required to advance reasonable expenses incurred by Indemnitee, and (iii) be liable for the full amount of all expenses, judgments, penalties, fines and amounts paid in settlement to the extent legally permitted and as required by the terms of this Agreement and any provision of the Bylaws or the Company’s Amended and Restated Certificate of Incorporation (the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(or any other agreement between the Company and Indemnitee),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No advancement or payment by the Fund Indemnitors on behalf of Indemnitee with respect to any claim for which Indemnitee has sought indemnification from the Company shall affect the foregoing and the Fund Indemnitors shall have a right of contribution or be subrogated to the extent of such advancement or payment to all of the rights of recovery of Indemnitee against the Company. The Fund Indemnitors are third party beneficiaries of the terms of this Section.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4" w:name="page125"/>
    <w:bookmarkEnd w:id="124"/>
    <w:p>
      <w:pPr>
        <w:jc w:val="both"/>
        <w:ind w:left="200" w:right="219" w:firstLine="1305"/>
        <w:spacing w:after="0" w:line="243" w:lineRule="auto"/>
        <w:tabs>
          <w:tab w:leader="none" w:pos="2144" w:val="left"/>
        </w:tabs>
        <w:numPr>
          <w:ilvl w:val="1"/>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Contribution</w:t>
      </w:r>
      <w:r>
        <w:rPr>
          <w:rFonts w:ascii="Times New Roman" w:cs="Times New Roman" w:eastAsia="Times New Roman" w:hAnsi="Times New Roman"/>
          <w:sz w:val="21"/>
          <w:szCs w:val="21"/>
          <w:color w:val="auto"/>
        </w:rPr>
        <w:t>. Whether or not the indemnification provided in this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 is available, in respect of any proceeding in which the Company is jointly liable with Indemnitee (or would be if joined in such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 Without diminishing or impairing the obligations of the Company set forth in this Section 3, if, for any reason, Indemnitee shall elect or be required to pay all or any portion of any judgment or settlement in any threatened, pending or completed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200" w:lineRule="exact"/>
        <w:rPr>
          <w:rFonts w:ascii="Times New Roman" w:cs="Times New Roman" w:eastAsia="Times New Roman" w:hAnsi="Times New Roman"/>
          <w:sz w:val="21"/>
          <w:szCs w:val="21"/>
          <w:b w:val="1"/>
          <w:bCs w:val="1"/>
          <w:color w:val="auto"/>
        </w:rPr>
      </w:pPr>
    </w:p>
    <w:p>
      <w:pPr>
        <w:spacing w:after="0" w:line="217" w:lineRule="exact"/>
        <w:rPr>
          <w:rFonts w:ascii="Times New Roman" w:cs="Times New Roman" w:eastAsia="Times New Roman" w:hAnsi="Times New Roman"/>
          <w:sz w:val="21"/>
          <w:szCs w:val="21"/>
          <w:b w:val="1"/>
          <w:bCs w:val="1"/>
          <w:color w:val="auto"/>
        </w:rPr>
      </w:pPr>
    </w:p>
    <w:p>
      <w:pPr>
        <w:ind w:left="1500" w:hanging="643"/>
        <w:spacing w:after="0"/>
        <w:tabs>
          <w:tab w:leader="none" w:pos="150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ndemnification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xpenses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uccessful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other</w:t>
      </w:r>
    </w:p>
    <w:p>
      <w:pPr>
        <w:spacing w:after="0" w:line="18"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provision of this Agreement, to the extent that Indemnitee has been successful on the merits or otherwise in defense of any proceeding or in defense of any claim, issue or matter therein, including the dismissal of any action without prejudice, the Company shall indemnify Indemnitee against all expenses actually and reasonably incurred in connection with the investigation, defense or appeal of such proceeding.</w:t>
      </w:r>
    </w:p>
    <w:p>
      <w:pPr>
        <w:spacing w:after="0" w:line="175" w:lineRule="exact"/>
        <w:rPr>
          <w:sz w:val="20"/>
          <w:szCs w:val="20"/>
          <w:color w:val="auto"/>
        </w:rPr>
      </w:pPr>
    </w:p>
    <w:p>
      <w:pPr>
        <w:jc w:val="both"/>
        <w:ind w:left="200" w:right="219" w:firstLine="657"/>
        <w:spacing w:after="0" w:line="237" w:lineRule="auto"/>
        <w:tabs>
          <w:tab w:leader="none" w:pos="149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Indemnitee is entitled under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indemnification by the Company for some or a portion of any expenses actually and reasonably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657"/>
        <w:spacing w:after="0" w:line="246" w:lineRule="auto"/>
        <w:tabs>
          <w:tab w:leader="none" w:pos="1496"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dvancement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not prohibited by law, the Company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advance the expenses incurred by Indemnitee in connection with any proceeding, and such advancement shall be made promptly following request therefor, but in any event no later than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5" w:name="page126"/>
    <w:bookmarkEnd w:id="125"/>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and upon request of the Company, an undertaking to repay the advancement of expenses if and to the extent that it is ultimately determined by a court of competent jurisdiction in a final non-appealable judgment of a court of competent jurisdiction that Indemnitee is not entitled to be indemnified by the Company. Advances shall be unsecured, interest free and without regard to Indemnitee’s ability to repay the expenses. Advances shall include any and all expenses actually and reasonably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if and to the extent that it is ultimately determined by a court of competent jurisdiction in a final non-appealable judgment of a court of competent jurisdiction that Indemnitee is not entitled to be indemnified by the Company, and that no other undertaking with respect to the foregoing shall be required.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180" w:lineRule="exact"/>
        <w:rPr>
          <w:sz w:val="20"/>
          <w:szCs w:val="20"/>
          <w:color w:val="auto"/>
        </w:rPr>
      </w:pPr>
    </w:p>
    <w:p>
      <w:pPr>
        <w:ind w:left="1500" w:hanging="643"/>
        <w:spacing w:after="0"/>
        <w:tabs>
          <w:tab w:leader="none" w:pos="150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 and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36" w:lineRule="auto"/>
        <w:tabs>
          <w:tab w:leader="none" w:pos="2144"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 of Proceeding</w:t>
      </w:r>
      <w:r>
        <w:rPr>
          <w:rFonts w:ascii="Times New Roman" w:cs="Times New Roman" w:eastAsia="Times New Roman" w:hAnsi="Times New Roman"/>
          <w:sz w:val="22"/>
          <w:szCs w:val="22"/>
          <w:color w:val="auto"/>
        </w:rPr>
        <w:t>. Indemnitee will notify the Company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305"/>
        <w:spacing w:after="0" w:line="248" w:lineRule="auto"/>
        <w:tabs>
          <w:tab w:leader="none" w:pos="2144"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Request for Indemnification and Indemnification Payments</w:t>
      </w:r>
      <w:r>
        <w:rPr>
          <w:rFonts w:ascii="Times New Roman" w:cs="Times New Roman" w:eastAsia="Times New Roman" w:hAnsi="Times New Roman"/>
          <w:sz w:val="21"/>
          <w:szCs w:val="21"/>
          <w:color w:val="auto"/>
        </w:rPr>
        <w:t>. Indemnitee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notify the Company promptly in writing upon receiving notice of any demand, judgment or other requirement for payment that Indemnitee reasonably believes to be subject to indemnification under the terms of this Agreement, and shall request payment thereof by the Company. Indemnification payments requested by Indemnitee under Section 3 hereof shall be made by the Company no later than sixty (60) days after receipt of the written request of Indemnitee. Claims for advancement of expenses shall be made under the provisions of Section 6 herein.</w:t>
      </w:r>
    </w:p>
    <w:p>
      <w:pPr>
        <w:spacing w:after="0" w:line="170" w:lineRule="exact"/>
        <w:rPr>
          <w:rFonts w:ascii="Times New Roman" w:cs="Times New Roman" w:eastAsia="Times New Roman" w:hAnsi="Times New Roman"/>
          <w:sz w:val="21"/>
          <w:szCs w:val="21"/>
          <w:b w:val="1"/>
          <w:bCs w:val="1"/>
          <w:color w:val="auto"/>
        </w:rPr>
      </w:pPr>
    </w:p>
    <w:p>
      <w:pPr>
        <w:jc w:val="both"/>
        <w:ind w:left="200" w:right="219" w:firstLine="1305"/>
        <w:spacing w:after="0" w:line="250" w:lineRule="auto"/>
        <w:tabs>
          <w:tab w:leader="none" w:pos="2144"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Application for Enforcement</w:t>
      </w:r>
      <w:r>
        <w:rPr>
          <w:rFonts w:ascii="Times New Roman" w:cs="Times New Roman" w:eastAsia="Times New Roman" w:hAnsi="Times New Roman"/>
          <w:sz w:val="21"/>
          <w:szCs w:val="21"/>
          <w:color w:val="auto"/>
        </w:rPr>
        <w:t>. In the event the Company fails to make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timely payments as set forth in 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6" w:name="page127"/>
    <w:bookmarkEnd w:id="126"/>
    <w:p>
      <w:pPr>
        <w:jc w:val="both"/>
        <w:ind w:left="200" w:right="219"/>
        <w:spacing w:after="0"/>
        <w:rPr>
          <w:sz w:val="20"/>
          <w:szCs w:val="20"/>
          <w:color w:val="auto"/>
        </w:rPr>
      </w:pPr>
      <w:r>
        <w:rPr>
          <w:rFonts w:ascii="Times New Roman" w:cs="Times New Roman" w:eastAsia="Times New Roman" w:hAnsi="Times New Roman"/>
          <w:sz w:val="22"/>
          <w:szCs w:val="22"/>
          <w:color w:val="auto"/>
        </w:rPr>
        <w:t>applicable law. Any determination by the Company (including its Board of Directors, stockholders or independent counsel) that Indemnitee is not entitled to indemnification hereunder, shall not be a defense by the Company to the action nor create any presumption that Indemnitee is not entitled to indemnification or advancement of expenses hereunder.</w:t>
      </w:r>
    </w:p>
    <w:p>
      <w:pPr>
        <w:spacing w:after="0" w:line="173" w:lineRule="exact"/>
        <w:rPr>
          <w:sz w:val="20"/>
          <w:szCs w:val="20"/>
          <w:color w:val="auto"/>
        </w:rPr>
      </w:pPr>
    </w:p>
    <w:p>
      <w:pPr>
        <w:jc w:val="both"/>
        <w:ind w:left="200" w:right="219" w:firstLine="1305"/>
        <w:spacing w:after="0" w:line="241" w:lineRule="auto"/>
        <w:tabs>
          <w:tab w:leader="none" w:pos="2144"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of Certain Expenses</w:t>
      </w:r>
      <w:r>
        <w:rPr>
          <w:rFonts w:ascii="Times New Roman" w:cs="Times New Roman" w:eastAsia="Times New Roman" w:hAnsi="Times New Roman"/>
          <w:sz w:val="22"/>
          <w:szCs w:val="22"/>
          <w:color w:val="auto"/>
        </w:rPr>
        <w:t>. The Company shall indemnify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against all expenses incurred in connection with any hearing or proceeding under this Section 7 unless the Company prevails in such hearing or proceeding on the merits in all material respects.</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657"/>
        <w:spacing w:after="0" w:line="232" w:lineRule="auto"/>
        <w:tabs>
          <w:tab w:leader="none" w:pos="1496"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ssumption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the Company shall be requested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to pay the expenses of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 The Company shall not be entitled to assume the defense of any action, suit or proceeding brought by or on behalf of the Company or as to which Indemnitee shall have initiated in accordance with Section 10(b).</w:t>
      </w:r>
    </w:p>
    <w:p>
      <w:pPr>
        <w:spacing w:after="0" w:line="189"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nsurance</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officers, employees, or agents of the Company or of any subsidiary (</w:t>
      </w:r>
      <w:r>
        <w:rPr>
          <w:rFonts w:ascii="Times New Roman" w:cs="Times New Roman" w:eastAsia="Times New Roman" w:hAnsi="Times New Roman"/>
          <w:sz w:val="22"/>
          <w:szCs w:val="22"/>
          <w:b w:val="1"/>
          <w:bCs w:val="1"/>
          <w:i w:val="1"/>
          <w:iCs w:val="1"/>
          <w:color w:val="auto"/>
        </w:rPr>
        <w:t>“D&amp;O Insurance”</w:t>
      </w:r>
      <w:r>
        <w:rPr>
          <w:rFonts w:ascii="Times New Roman" w:cs="Times New Roman" w:eastAsia="Times New Roman" w:hAnsi="Times New Roman"/>
          <w:sz w:val="22"/>
          <w:szCs w:val="22"/>
          <w:color w:val="auto"/>
        </w:rPr>
        <w:t>),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D&amp;O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79" w:lineRule="exact"/>
        <w:rPr>
          <w:rFonts w:ascii="Times New Roman" w:cs="Times New Roman" w:eastAsia="Times New Roman" w:hAnsi="Times New Roman"/>
          <w:sz w:val="22"/>
          <w:szCs w:val="22"/>
          <w:b w:val="1"/>
          <w:bCs w:val="1"/>
          <w:color w:val="auto"/>
        </w:rPr>
      </w:pPr>
    </w:p>
    <w:p>
      <w:pPr>
        <w:jc w:val="both"/>
        <w:ind w:left="200" w:right="219" w:firstLine="1305"/>
        <w:spacing w:after="0" w:line="236" w:lineRule="auto"/>
        <w:tabs>
          <w:tab w:leader="none" w:pos="2144" w:val="left"/>
        </w:tabs>
        <w:numPr>
          <w:ilvl w:val="1"/>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 the event of a change of control of the Company or the Company dissolving or liquidating (including being placed into receivership or entering the federal bankruptcy process and the like), the Company shall maintain in force any and all insurance policies then maintained by the Company in providing insurance in respect of Indemnitee (directors’ and officers’ liability, fiduciary, employment practices or otherwise) for a period of at least six years thereafter (a </w:t>
      </w:r>
      <w:r>
        <w:rPr>
          <w:rFonts w:ascii="Times New Roman" w:cs="Times New Roman" w:eastAsia="Times New Roman" w:hAnsi="Times New Roman"/>
          <w:sz w:val="22"/>
          <w:szCs w:val="22"/>
          <w:b w:val="1"/>
          <w:bCs w:val="1"/>
          <w:i w:val="1"/>
          <w:iCs w:val="1"/>
          <w:color w:val="auto"/>
        </w:rPr>
        <w:t>“Tail Policy”</w:t>
      </w:r>
      <w:r>
        <w:rPr>
          <w:rFonts w:ascii="Times New Roman" w:cs="Times New Roman" w:eastAsia="Times New Roman" w:hAnsi="Times New Roman"/>
          <w:sz w:val="22"/>
          <w:szCs w:val="22"/>
          <w:color w:val="auto"/>
        </w:rPr>
        <w:t>). Such coverage shall be placed by the Company’s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7" w:name="page128"/>
    <w:bookmarkEnd w:id="127"/>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incumbent broker. If such coverage is not placed with the incumbent insurance carriers using the policies that were in place at the time of the change of control or insolvency event, the Tail Policy shall be substantially comparable in scope and amount as the expiring policies, and the insurance carriers for the Tail Policy shall have an AM Best rating that is the same or better than the AM Best ratings of the expiring policies.</w:t>
      </w:r>
    </w:p>
    <w:p>
      <w:pPr>
        <w:spacing w:after="0" w:line="173" w:lineRule="exact"/>
        <w:rPr>
          <w:sz w:val="20"/>
          <w:szCs w:val="20"/>
          <w:color w:val="auto"/>
        </w:rPr>
      </w:pPr>
    </w:p>
    <w:p>
      <w:pPr>
        <w:ind w:left="1500" w:hanging="643"/>
        <w:spacing w:after="0"/>
        <w:tabs>
          <w:tab w:leader="none" w:pos="150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xceptions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42" w:lineRule="auto"/>
        <w:tabs>
          <w:tab w:leader="none" w:pos="2144" w:val="left"/>
        </w:tabs>
        <w:numPr>
          <w:ilvl w:val="1"/>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Certain Matters</w:t>
      </w:r>
      <w:r>
        <w:rPr>
          <w:rFonts w:ascii="Times New Roman" w:cs="Times New Roman" w:eastAsia="Times New Roman" w:hAnsi="Times New Roman"/>
          <w:sz w:val="21"/>
          <w:szCs w:val="21"/>
          <w:color w:val="auto"/>
        </w:rPr>
        <w:t>. Any provision herein to the contrary notwithstanding,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shall not be obligated pursuant to the terms of this Agreement to indemnify Indemnitee on account of any proceeding with respect to (i) remuneration paid to Indemnitee if it is determined by final non-appealable judgment of a court of competent jurisdiction that such remuneration was in violation of law; (ii) a final non-appealable judgment of a court of competent jurisdiction rendered against Indemnitee for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Securities Exchange Act of 1934, as amended, or other provisions of any federal, state or local statute or rules and regulations thereunder; (iii) a final non-appealable judgment of a court of competent jurisdiction that Indemnitee’s conduct was in bad faith, knowingly fraudulent or deliberately dishonest or constituted willful misconduct (but only to the extent of such specific determination); or (iv) on account of conduct that is established by a final non-appealable judgment of a court of competent jurisdiction as constituting a breach of Indemnitee’s duty of loyalty to the Company. For purposes of the foregoing sentence, a final non-appealable judgment of a court of competent jurisdiction may be reached in either the underlying proceeding or action in connection with which indemnification is sought or a separate proceeding or action to establish rights and liabilities under this Agreement.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such Indemnitee’s conduct was unlawful. For purposes of any determination of good faith, Indemnitee shall be deemed to have acted in good faith to the extent Indemnitee relied in good faith on (i) the records or books of account of the company, including financial statements, (ii) information supplied to Indemnitee by agents of the Company in the course of their duties, (iii) the advice of legal counsel for the Company or its board of directors or counsel selected by any committee of the board of directors or (iv) information or records given or reports made to the Company by an independent certified public accountant, an appraiser, investment banker or other expert selected with reasonable care by the Company or its board of directors or any committee of the board of directors.</w:t>
      </w:r>
    </w:p>
    <w:p>
      <w:pPr>
        <w:spacing w:after="0" w:line="200" w:lineRule="exact"/>
        <w:rPr>
          <w:rFonts w:ascii="Times New Roman" w:cs="Times New Roman" w:eastAsia="Times New Roman" w:hAnsi="Times New Roman"/>
          <w:sz w:val="21"/>
          <w:szCs w:val="21"/>
          <w:b w:val="1"/>
          <w:bCs w:val="1"/>
          <w:color w:val="auto"/>
        </w:rPr>
      </w:pPr>
    </w:p>
    <w:p>
      <w:pPr>
        <w:spacing w:after="0" w:line="242" w:lineRule="exact"/>
        <w:rPr>
          <w:rFonts w:ascii="Times New Roman" w:cs="Times New Roman" w:eastAsia="Times New Roman" w:hAnsi="Times New Roman"/>
          <w:sz w:val="21"/>
          <w:szCs w:val="21"/>
          <w:b w:val="1"/>
          <w:bCs w:val="1"/>
          <w:color w:val="auto"/>
        </w:rPr>
      </w:pPr>
    </w:p>
    <w:p>
      <w:pPr>
        <w:jc w:val="both"/>
        <w:ind w:left="200" w:right="219" w:firstLine="1305"/>
        <w:spacing w:after="0" w:line="241" w:lineRule="auto"/>
        <w:tabs>
          <w:tab w:leader="none" w:pos="2144"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Claims Initiated by Indemnitee</w:t>
      </w:r>
      <w:r>
        <w:rPr>
          <w:rFonts w:ascii="Times New Roman" w:cs="Times New Roman" w:eastAsia="Times New Roman" w:hAnsi="Times New Roman"/>
          <w:sz w:val="22"/>
          <w:szCs w:val="22"/>
          <w:color w:val="auto"/>
        </w:rPr>
        <w:t>. Any provision herein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Company shall not be obligated to indemnify or advance expenses to Indemnitee with respect to proceedings or claims initiated or brought by Indemnitee against the Company or its directors, officers, employees or other agents and not by way of defense, except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8" w:name="page129"/>
    <w:bookmarkEnd w:id="128"/>
    <w:p>
      <w:pPr>
        <w:ind w:left="200" w:right="219" w:firstLine="9"/>
        <w:spacing w:after="0" w:line="249" w:lineRule="auto"/>
        <w:tabs>
          <w:tab w:leader="none" w:pos="46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proceedings brought to establish or enforce a right to indemnification under this Agreement or under any 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67"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2"/>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Unauthorized Settlements</w:t>
      </w:r>
      <w:r>
        <w:rPr>
          <w:rFonts w:ascii="Times New Roman" w:cs="Times New Roman" w:eastAsia="Times New Roman" w:hAnsi="Times New Roman"/>
          <w:sz w:val="22"/>
          <w:szCs w:val="22"/>
          <w:color w:val="auto"/>
        </w:rPr>
        <w:t>. Any provision herein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Company shall not be obligated pursuant to the 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50" w:lineRule="auto"/>
        <w:tabs>
          <w:tab w:leader="none" w:pos="2144" w:val="left"/>
        </w:tabs>
        <w:numPr>
          <w:ilvl w:val="2"/>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Securities Act Liabilities</w:t>
      </w:r>
      <w:r>
        <w:rPr>
          <w:rFonts w:ascii="Times New Roman" w:cs="Times New Roman" w:eastAsia="Times New Roman" w:hAnsi="Times New Roman"/>
          <w:sz w:val="21"/>
          <w:szCs w:val="21"/>
          <w:color w:val="auto"/>
        </w:rPr>
        <w:t>. Indemnitee acknowledges that paragraph (h)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Item 512 of Regulation S-K promulgated under the Securities Act of 1933, as amended (the </w:t>
      </w: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1"/>
          <w:szCs w:val="21"/>
          <w:color w:val="auto"/>
        </w:rPr>
        <w:t>), currently generally requires the Company to undertake in connection with any registration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w:t>
      </w:r>
    </w:p>
    <w:p>
      <w:pPr>
        <w:spacing w:after="0" w:line="164" w:lineRule="exact"/>
        <w:rPr>
          <w:rFonts w:ascii="Times New Roman" w:cs="Times New Roman" w:eastAsia="Times New Roman" w:hAnsi="Times New Roman"/>
          <w:sz w:val="21"/>
          <w:szCs w:val="21"/>
          <w:b w:val="1"/>
          <w:bCs w:val="1"/>
          <w:color w:val="auto"/>
        </w:rPr>
      </w:pPr>
    </w:p>
    <w:p>
      <w:pPr>
        <w:ind w:left="1500" w:hanging="643"/>
        <w:spacing w:after="0"/>
        <w:tabs>
          <w:tab w:leader="none" w:pos="1500" w:val="left"/>
        </w:tabs>
        <w:numPr>
          <w:ilvl w:val="1"/>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exclusivity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urvival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2"/>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provisions for indemnification and advancement of expenses set forth in this Agreement shall not be deemed exclusive of any other rights which Indemnitee may at any time be entitled under any provision of applicable law, the Certificate of Incorporation, Bylaws or other agreements, both as to action in Indemnitee’s official capacity and Indemnitee’s action as an agent of the Company, in any court in which a proceeding is brought, and Indemnitee’s rights hereunder shall continue after Indemnitee has ceased acting as an agent of the Company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83" w:lineRule="exact"/>
        <w:rPr>
          <w:rFonts w:ascii="Times New Roman" w:cs="Times New Roman" w:eastAsia="Times New Roman" w:hAnsi="Times New Roman"/>
          <w:sz w:val="21"/>
          <w:szCs w:val="21"/>
          <w:b w:val="1"/>
          <w:bCs w:val="1"/>
          <w:color w:val="auto"/>
        </w:rPr>
      </w:pPr>
    </w:p>
    <w:p>
      <w:pPr>
        <w:jc w:val="both"/>
        <w:ind w:left="200" w:right="219" w:firstLine="1305"/>
        <w:spacing w:after="0" w:line="248" w:lineRule="auto"/>
        <w:tabs>
          <w:tab w:leader="none" w:pos="2144" w:val="left"/>
        </w:tabs>
        <w:numPr>
          <w:ilvl w:val="2"/>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DGCL, whether by statute or judicial decision, permits greater indemnification or advancement of expenses than would be afforded currently under the Certificate of Incorporation, Bylaws and this Agreement, it is the intent of the parties hereto that Indemnitee shall enjoy by this Agreement the greater benefits so afforded by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9" w:name="page130"/>
    <w:bookmarkEnd w:id="129"/>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77" w:lineRule="exact"/>
        <w:rPr>
          <w:sz w:val="20"/>
          <w:szCs w:val="20"/>
          <w:color w:val="auto"/>
        </w:rPr>
      </w:pPr>
    </w:p>
    <w:p>
      <w:pPr>
        <w:jc w:val="both"/>
        <w:ind w:left="200" w:right="219" w:firstLine="1305"/>
        <w:spacing w:after="0" w:line="233" w:lineRule="auto"/>
        <w:tabs>
          <w:tab w:leader="none" w:pos="2144" w:val="left"/>
        </w:tabs>
        <w:numPr>
          <w:ilvl w:val="2"/>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and Indemnitee agree herein that a monetary remedy for breach of this Agreement, at some later date, may be inadequate, impracticable and difficult of proof, and further agree that such breach may cause Indemnitee and the Company irreparable harm. Accordingly, the parties hereto agree that each of the Company and the Indemnitee may enforce this Agreement by seeking injunctive relief and/or specific performance hereof, without any necessity of showing actual damage or irreparable harm and that by seeking injunctive relief and/or specific performance, they shall not be precluded from seeking or obtaining any other relief to which they may be entitled. The Company and Indemnitee further agree that they shall be entitled to such specific performance and injunctive relief, including temporary restraining orders, preliminary injunctions and permanent injunctions, without the necessity of posting bonds or other undertaking in connection therewith. The Company and Indemnitee acknowledge that in the absence of a waiver, a bond or undertaking may be required by the Delaware Court of Chancery, and they hereby waive any such requirement of such a bond or undertaking.</w:t>
      </w:r>
    </w:p>
    <w:p>
      <w:pPr>
        <w:spacing w:after="0" w:line="178"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1"/>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2"/>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This Agreement shall continue until and terminate upon the later of: (i) five</w:t>
      </w:r>
    </w:p>
    <w:p>
      <w:pPr>
        <w:spacing w:after="0" w:line="25" w:lineRule="exact"/>
        <w:rPr>
          <w:rFonts w:ascii="Times New Roman" w:cs="Times New Roman" w:eastAsia="Times New Roman" w:hAnsi="Times New Roman"/>
          <w:sz w:val="21"/>
          <w:szCs w:val="21"/>
          <w:b w:val="1"/>
          <w:bCs w:val="1"/>
          <w:color w:val="auto"/>
        </w:rPr>
      </w:pPr>
    </w:p>
    <w:p>
      <w:pPr>
        <w:jc w:val="both"/>
        <w:ind w:left="200" w:right="219" w:firstLine="9"/>
        <w:spacing w:after="0" w:line="234" w:lineRule="auto"/>
        <w:tabs>
          <w:tab w:leader="none" w:pos="54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after the date that Indemnitee shall have ceased to serve as a director and/or officer, employee or agent of the Company; or (ii) one (1) year after the final termination of any proceeding, including any appeal then pending, in respect to which Indemnitee was granted rights of indemnification or advancement of expenses hereunder.</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2"/>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179"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1"/>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ubrogation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payment under this Agreement, the Company shall be</w:t>
      </w:r>
    </w:p>
    <w:p>
      <w:pPr>
        <w:spacing w:after="0" w:line="18"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subrogated to the extent of such payment to all of 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73" w:lineRule="exact"/>
        <w:rPr>
          <w:sz w:val="20"/>
          <w:szCs w:val="20"/>
          <w:color w:val="auto"/>
        </w:rPr>
      </w:pPr>
    </w:p>
    <w:p>
      <w:pPr>
        <w:jc w:val="both"/>
        <w:ind w:left="200" w:right="219" w:firstLine="657"/>
        <w:spacing w:after="0" w:line="238" w:lineRule="auto"/>
        <w:tabs>
          <w:tab w:leader="none" w:pos="1496"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Indemnitee is the subject of or is implicated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during an investigation, whether formal or informal, the Company shall notify the Indemnitee of such investigation and shall share with Indemnitee any information it has turned over to any third parties concerning the investigation (</w:t>
      </w:r>
      <w:r>
        <w:rPr>
          <w:rFonts w:ascii="Times New Roman" w:cs="Times New Roman" w:eastAsia="Times New Roman" w:hAnsi="Times New Roman"/>
          <w:sz w:val="22"/>
          <w:szCs w:val="22"/>
          <w:b w:val="1"/>
          <w:bCs w:val="1"/>
          <w:i w:val="1"/>
          <w:iCs w:val="1"/>
          <w:color w:val="auto"/>
        </w:rPr>
        <w:t>“Shared Information”</w:t>
      </w:r>
      <w:r>
        <w:rPr>
          <w:rFonts w:ascii="Times New Roman" w:cs="Times New Roman" w:eastAsia="Times New Roman" w:hAnsi="Times New Roman"/>
          <w:sz w:val="22"/>
          <w:szCs w:val="22"/>
          <w:color w:val="auto"/>
        </w:rPr>
        <w:t>). By executing this agreement, Indemnitee agrees that such Shared Information is material non-public information that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0" w:name="page131"/>
    <w:bookmarkEnd w:id="130"/>
    <w:p>
      <w:pPr>
        <w:jc w:val="both"/>
        <w:ind w:left="200" w:right="219"/>
        <w:spacing w:after="0"/>
        <w:rPr>
          <w:sz w:val="20"/>
          <w:szCs w:val="20"/>
          <w:color w:val="auto"/>
        </w:rPr>
      </w:pPr>
      <w:r>
        <w:rPr>
          <w:rFonts w:ascii="Times New Roman" w:cs="Times New Roman" w:eastAsia="Times New Roman" w:hAnsi="Times New Roman"/>
          <w:sz w:val="22"/>
          <w:szCs w:val="22"/>
          <w:color w:val="auto"/>
        </w:rPr>
        <w:t>Indemnitee is obligated to hold in confidence and may not disclose publicly; provided, however, that Indemnitee is permitted to use the Shared Information and to disclose such Shared Information to Indemnitee’s legal counsel and third parties solely in connection with defending Indemnitee from legal liability.</w:t>
      </w:r>
    </w:p>
    <w:p>
      <w:pPr>
        <w:spacing w:after="0" w:line="173" w:lineRule="exact"/>
        <w:rPr>
          <w:sz w:val="20"/>
          <w:szCs w:val="20"/>
          <w:color w:val="auto"/>
        </w:rPr>
      </w:pPr>
    </w:p>
    <w:p>
      <w:pPr>
        <w:jc w:val="both"/>
        <w:ind w:left="200" w:right="239" w:firstLine="657"/>
        <w:spacing w:after="0" w:line="246" w:lineRule="auto"/>
        <w:tabs>
          <w:tab w:leader="none" w:pos="1496"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nterpretation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is understood that the parties hereto intend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be interpreted and enforced so as to provide indemnification to Indemnitee to the fullest extent now or hereafter permitted by law.</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657"/>
        <w:spacing w:after="0" w:line="234" w:lineRule="auto"/>
        <w:tabs>
          <w:tab w:leader="none" w:pos="1496"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shall be held to be invalid,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unenforceable for 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15 hereof.</w:t>
      </w:r>
    </w:p>
    <w:p>
      <w:pPr>
        <w:spacing w:after="0" w:line="179" w:lineRule="exact"/>
        <w:rPr>
          <w:rFonts w:ascii="Times New Roman" w:cs="Times New Roman" w:eastAsia="Times New Roman" w:hAnsi="Times New Roman"/>
          <w:sz w:val="22"/>
          <w:szCs w:val="22"/>
          <w:b w:val="1"/>
          <w:bCs w:val="1"/>
          <w:color w:val="auto"/>
        </w:rPr>
      </w:pPr>
    </w:p>
    <w:p>
      <w:pPr>
        <w:jc w:val="both"/>
        <w:ind w:left="200" w:right="219" w:firstLine="657"/>
        <w:spacing w:after="0"/>
        <w:tabs>
          <w:tab w:leader="none" w:pos="1496"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22"/>
          <w:szCs w:val="22"/>
          <w:color w:val="auto"/>
        </w:rPr>
        <w:t>. No supplement, modification, amendment,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cancellation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200" w:lineRule="exact"/>
        <w:rPr>
          <w:rFonts w:ascii="Times New Roman" w:cs="Times New Roman" w:eastAsia="Times New Roman" w:hAnsi="Times New Roman"/>
          <w:sz w:val="22"/>
          <w:szCs w:val="22"/>
          <w:b w:val="1"/>
          <w:bCs w:val="1"/>
          <w:color w:val="auto"/>
        </w:rPr>
      </w:pPr>
    </w:p>
    <w:p>
      <w:pPr>
        <w:spacing w:after="0" w:line="219" w:lineRule="exact"/>
        <w:rPr>
          <w:rFonts w:ascii="Times New Roman" w:cs="Times New Roman" w:eastAsia="Times New Roman" w:hAnsi="Times New Roman"/>
          <w:sz w:val="22"/>
          <w:szCs w:val="22"/>
          <w:b w:val="1"/>
          <w:bCs w:val="1"/>
          <w:color w:val="auto"/>
        </w:rPr>
      </w:pPr>
    </w:p>
    <w:p>
      <w:pPr>
        <w:jc w:val="both"/>
        <w:ind w:left="200" w:right="219" w:firstLine="657"/>
        <w:spacing w:after="0" w:line="260" w:lineRule="auto"/>
        <w:tabs>
          <w:tab w:leader="none" w:pos="1496"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herein, any notice or demand which,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hereof, is required or which may be given to or served upon the parties hereto shall be in writing and, if by telegram, telecopy or telex,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54" w:lineRule="exact"/>
        <w:rPr>
          <w:rFonts w:ascii="Times New Roman" w:cs="Times New Roman" w:eastAsia="Times New Roman" w:hAnsi="Times New Roman"/>
          <w:sz w:val="20"/>
          <w:szCs w:val="20"/>
          <w:b w:val="1"/>
          <w:bCs w:val="1"/>
          <w:color w:val="auto"/>
        </w:rPr>
      </w:pPr>
    </w:p>
    <w:p>
      <w:pPr>
        <w:jc w:val="both"/>
        <w:ind w:left="200" w:right="219" w:firstLine="657"/>
        <w:spacing w:after="0" w:line="246" w:lineRule="auto"/>
        <w:tabs>
          <w:tab w:leader="none" w:pos="1496"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exclusively by and construed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according to the laws of the State of Delaware, as applied to contracts between Delaware residents entered into and to be performed entirely within Delaware.</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657"/>
        <w:spacing w:after="0" w:line="241" w:lineRule="auto"/>
        <w:tabs>
          <w:tab w:leader="none" w:pos="1496"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one or more counterparts,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shall for all purposes be deemed to be an original but all of which together shall constitute but one and the same Agreement. Only one such counterpart need be produced to evidence the existence of this Agreement.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1" w:name="page132"/>
    <w:bookmarkEnd w:id="131"/>
    <w:p>
      <w:pPr>
        <w:jc w:val="both"/>
        <w:ind w:left="200" w:right="219" w:firstLine="657"/>
        <w:spacing w:after="0" w:line="246" w:lineRule="auto"/>
        <w:tabs>
          <w:tab w:leader="none" w:pos="1496"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headings of the sections of this Agreement are inserted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only and shall not be deemed to constitute part of this Agreement or to affect the construction hereof.</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constitutes the entire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with respect to the subject matter hereof and supersedes all prior agreements, understandings and negotiations, written and oral, between the parties with respect to the subject matter of this Agreement, including but not limited to any Indemnity Agreement previously entered into between the Company and the Indemnitee; provided, however, that this Agreement is a supplement to and in furtherance of the Certificate of Incorporation, Bylaws, the DGCL and any other applicable law, and shall not be deemed a substitute therefor, and does not diminish or abrogate any rights of Indemnitee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ignatures on the</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ollowing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2" w:name="page133"/>
    <w:bookmarkEnd w:id="132"/>
    <w:p>
      <w:pPr>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 xml:space="preserve">The parties hereto have executed this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as of the date first above written.</w:t>
      </w:r>
    </w:p>
    <w:p>
      <w:pPr>
        <w:sectPr>
          <w:pgSz w:w="11900" w:h="16838" w:orient="portrait"/>
          <w:cols w:equalWidth="0" w:num="1">
            <w:col w:w="9019"/>
          </w:cols>
          <w:pgMar w:left="1440" w:top="1107" w:right="1440" w:bottom="1440" w:gutter="0" w:footer="0" w:header="0"/>
        </w:sectPr>
      </w:pP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ndemnitee</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3199"/>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ectPr>
          <w:pgSz w:w="11900" w:h="16838" w:orient="portrait"/>
          <w:cols w:equalWidth="0" w:num="2">
            <w:col w:w="3800" w:space="720"/>
            <w:col w:w="4499"/>
          </w:cols>
          <w:pgMar w:left="1440" w:top="1107" w:right="1440" w:bottom="1440" w:gutter="0" w:footer="0" w:header="0"/>
          <w:type w:val="continuous"/>
        </w:sectPr>
      </w:pPr>
    </w:p>
    <w:p>
      <w:pPr>
        <w:spacing w:after="0" w:line="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ectPr>
          <w:pgSz w:w="11900" w:h="16838" w:orient="portrait"/>
          <w:cols w:equalWidth="0" w:num="1">
            <w:col w:w="9019"/>
          </w:cols>
          <w:pgMar w:left="1440" w:top="1107" w:right="1440"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220" w:right="440"/>
        <w:spacing w:after="0" w:line="282" w:lineRule="auto"/>
        <w:rPr>
          <w:sz w:val="20"/>
          <w:szCs w:val="20"/>
          <w:color w:val="auto"/>
        </w:rPr>
      </w:pPr>
      <w:r>
        <w:rPr>
          <w:rFonts w:ascii="Times New Roman" w:cs="Times New Roman" w:eastAsia="Times New Roman" w:hAnsi="Times New Roman"/>
          <w:sz w:val="21"/>
          <w:szCs w:val="21"/>
          <w:color w:val="auto"/>
        </w:rPr>
        <w:t xml:space="preserve">_____________________________ </w:t>
      </w:r>
      <w:r>
        <w:rPr>
          <w:rFonts w:ascii="Times New Roman" w:cs="Times New Roman" w:eastAsia="Times New Roman" w:hAnsi="Times New Roman"/>
          <w:sz w:val="21"/>
          <w:szCs w:val="21"/>
          <w:b w:val="1"/>
          <w:b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 ]</w:t>
      </w:r>
    </w:p>
    <w:p>
      <w:pPr>
        <w:spacing w:after="0"/>
        <w:rPr>
          <w:sz w:val="20"/>
          <w:szCs w:val="20"/>
          <w:color w:val="auto"/>
        </w:rPr>
      </w:pPr>
      <w:r>
        <w:rPr>
          <w:rFonts w:ascii="Times New Roman" w:cs="Times New Roman" w:eastAsia="Times New Roman" w:hAnsi="Times New Roman"/>
          <w:sz w:val="22"/>
          <w:szCs w:val="22"/>
          <w:color w:val="auto"/>
        </w:rPr>
        <w:t>Title:  [ ]</w:t>
      </w:r>
    </w:p>
    <w:p>
      <w:pPr>
        <w:spacing w:after="0" w:line="200" w:lineRule="exact"/>
        <w:rPr>
          <w:sz w:val="20"/>
          <w:szCs w:val="20"/>
          <w:color w:val="auto"/>
        </w:rPr>
      </w:pPr>
    </w:p>
    <w:p>
      <w:pPr>
        <w:sectPr>
          <w:pgSz w:w="11900" w:h="16838" w:orient="portrait"/>
          <w:cols w:equalWidth="0" w:num="2">
            <w:col w:w="3800" w:space="720"/>
            <w:col w:w="4499"/>
          </w:cols>
          <w:pgMar w:left="1440" w:top="1107" w:right="1440" w:bottom="1440" w:gutter="0" w:footer="0" w:header="0"/>
          <w:type w:val="continuous"/>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ectPr>
          <w:pgSz w:w="11900" w:h="16838" w:orient="portrait"/>
          <w:cols w:equalWidth="0" w:num="1">
            <w:col w:w="9019"/>
          </w:cols>
          <w:pgMar w:left="1440" w:top="1107" w:right="1440" w:bottom="1440" w:gutter="0" w:footer="0" w:header="0"/>
          <w:type w:val="continuous"/>
        </w:sectPr>
      </w:pP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133" w:name="page134"/>
    <w:bookmarkEnd w:id="133"/>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GEMPHIRE THERAPEUTICS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284" w:lineRule="exact"/>
        <w:rPr>
          <w:sz w:val="20"/>
          <w:szCs w:val="20"/>
          <w:color w:val="auto"/>
        </w:rPr>
      </w:pPr>
    </w:p>
    <w:p>
      <w:pPr>
        <w:ind w:left="860" w:hanging="651"/>
        <w:spacing w:after="0"/>
        <w:tabs>
          <w:tab w:leader="none" w:pos="8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DEFINITIONS.</w:t>
      </w:r>
    </w:p>
    <w:p>
      <w:pPr>
        <w:spacing w:after="0" w:line="212"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Unless otherwise specified or unless the context otherwise requires, the following terms, as used in this Gemphire Therapeutics Inc. 2019 Equity Incentive Plan, have the following meanings:</w:t>
      </w:r>
    </w:p>
    <w:p>
      <w:pPr>
        <w:spacing w:after="0" w:line="154" w:lineRule="exact"/>
        <w:rPr>
          <w:sz w:val="20"/>
          <w:szCs w:val="20"/>
          <w:color w:val="auto"/>
        </w:rPr>
      </w:pPr>
    </w:p>
    <w:p>
      <w:pPr>
        <w:jc w:val="both"/>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Administrator </w:t>
      </w:r>
      <w:r>
        <w:rPr>
          <w:rFonts w:ascii="Times New Roman" w:cs="Times New Roman" w:eastAsia="Times New Roman" w:hAnsi="Times New Roman"/>
          <w:sz w:val="22"/>
          <w:szCs w:val="22"/>
          <w:color w:val="auto"/>
        </w:rPr>
        <w:t>means the Board of Directors, unless it has delegated power to act on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behalf to the Committee, in which case the term Administrator means the Committee.</w:t>
      </w:r>
    </w:p>
    <w:p>
      <w:pPr>
        <w:spacing w:after="0" w:line="150" w:lineRule="exact"/>
        <w:rPr>
          <w:sz w:val="20"/>
          <w:szCs w:val="20"/>
          <w:color w:val="auto"/>
        </w:rPr>
      </w:pPr>
    </w:p>
    <w:p>
      <w:pPr>
        <w:jc w:val="both"/>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a corporation or other entity, which, for purposes of Section 424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Code, is a parent or subsidiary of the Company, direct or indirect.</w:t>
      </w:r>
    </w:p>
    <w:p>
      <w:pPr>
        <w:spacing w:after="0" w:line="150" w:lineRule="exact"/>
        <w:rPr>
          <w:sz w:val="20"/>
          <w:szCs w:val="20"/>
          <w:color w:val="auto"/>
        </w:rPr>
      </w:pPr>
    </w:p>
    <w:p>
      <w:pPr>
        <w:jc w:val="both"/>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means a written or electronic document setting forth the terms of a Stock Right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delivered pursuant to the Plan in such form as the Administrator shall approve.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Board of Directors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jc w:val="both"/>
        <w:ind w:left="860" w:right="21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means, with respect to a Participant (a) dishonesty with respect to the Company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76" w:lineRule="exact"/>
        <w:rPr>
          <w:sz w:val="20"/>
          <w:szCs w:val="20"/>
          <w:color w:val="auto"/>
        </w:rPr>
      </w:pPr>
    </w:p>
    <w:p>
      <w:pPr>
        <w:jc w:val="both"/>
        <w:ind w:left="860" w:right="23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United States Internal Revenue Code of 1986, as amended including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statute, regulation and guidance thereto.</w:t>
      </w:r>
    </w:p>
    <w:p>
      <w:pPr>
        <w:spacing w:after="0" w:line="150" w:lineRule="exact"/>
        <w:rPr>
          <w:sz w:val="20"/>
          <w:szCs w:val="20"/>
          <w:color w:val="auto"/>
        </w:rPr>
      </w:pPr>
    </w:p>
    <w:p>
      <w:pPr>
        <w:jc w:val="both"/>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Committee </w:t>
      </w:r>
      <w:r>
        <w:rPr>
          <w:rFonts w:ascii="Times New Roman" w:cs="Times New Roman" w:eastAsia="Times New Roman" w:hAnsi="Times New Roman"/>
          <w:sz w:val="22"/>
          <w:szCs w:val="22"/>
          <w:color w:val="auto"/>
        </w:rPr>
        <w:t>means the committee of the Board of Directors to which the Board of Directors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delegated power to act under or pursuant to the provisions of the Plan.</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i w:val="1"/>
          <w:iCs w:val="1"/>
          <w:color w:val="auto"/>
        </w:rPr>
        <w:t xml:space="preserve">Common Stock </w:t>
      </w:r>
      <w:r>
        <w:rPr>
          <w:rFonts w:ascii="Times New Roman" w:cs="Times New Roman" w:eastAsia="Times New Roman" w:hAnsi="Times New Roman"/>
          <w:sz w:val="21"/>
          <w:szCs w:val="21"/>
          <w:color w:val="auto"/>
        </w:rPr>
        <w:t>means shares of the Company’s common stock, $0.001 par value per share.</w:t>
      </w:r>
    </w:p>
    <w:p>
      <w:pPr>
        <w:spacing w:after="0" w:line="2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Company </w:t>
      </w:r>
      <w:r>
        <w:rPr>
          <w:rFonts w:ascii="Times New Roman" w:cs="Times New Roman" w:eastAsia="Times New Roman" w:hAnsi="Times New Roman"/>
          <w:sz w:val="22"/>
          <w:szCs w:val="22"/>
          <w:color w:val="auto"/>
        </w:rPr>
        <w:t>means Gemphire Therapeutics Inc., a Delaware corporation.</w:t>
      </w:r>
    </w:p>
    <w:p>
      <w:pPr>
        <w:spacing w:after="0" w:line="206" w:lineRule="exact"/>
        <w:rPr>
          <w:sz w:val="20"/>
          <w:szCs w:val="20"/>
          <w:color w:val="auto"/>
        </w:rPr>
      </w:pPr>
    </w:p>
    <w:p>
      <w:pPr>
        <w:jc w:val="both"/>
        <w:ind w:left="860" w:right="21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Consultant </w:t>
      </w:r>
      <w:r>
        <w:rPr>
          <w:rFonts w:ascii="Times New Roman" w:cs="Times New Roman" w:eastAsia="Times New Roman" w:hAnsi="Times New Roman"/>
          <w:sz w:val="22"/>
          <w:szCs w:val="22"/>
          <w:color w:val="auto"/>
        </w:rPr>
        <w:t>means any natural person who is an advisor or consultant who provides bona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629285</wp:posOffset>
            </wp:positionV>
            <wp:extent cx="545211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4" w:name="page135"/>
    <w:bookmarkEnd w:id="134"/>
    <w:p>
      <w:pPr>
        <w:jc w:val="both"/>
        <w:ind w:left="860" w:right="21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Corporate Transaction </w:t>
      </w:r>
      <w:r>
        <w:rPr>
          <w:rFonts w:ascii="Times New Roman" w:cs="Times New Roman" w:eastAsia="Times New Roman" w:hAnsi="Times New Roman"/>
          <w:sz w:val="22"/>
          <w:szCs w:val="22"/>
          <w:color w:val="auto"/>
        </w:rPr>
        <w:t>means a merger, consolidation, or sale of all or substantially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assets or the acquisition of all of the outstanding voting stock of the Company in a single transaction or a series of related transactions by a single entity other than a transaction to merely change the state of incorporation.</w:t>
      </w:r>
    </w:p>
    <w:p>
      <w:pPr>
        <w:spacing w:after="0" w:line="172" w:lineRule="exact"/>
        <w:rPr>
          <w:sz w:val="20"/>
          <w:szCs w:val="20"/>
          <w:color w:val="auto"/>
        </w:rPr>
      </w:pPr>
    </w:p>
    <w:p>
      <w:pPr>
        <w:jc w:val="both"/>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Disabled </w:t>
      </w:r>
      <w:r>
        <w:rPr>
          <w:rFonts w:ascii="Times New Roman" w:cs="Times New Roman" w:eastAsia="Times New Roman" w:hAnsi="Times New Roman"/>
          <w:sz w:val="22"/>
          <w:szCs w:val="22"/>
          <w:color w:val="auto"/>
        </w:rPr>
        <w:t>means permanent and total disability as defined in Section 22(e)(3)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Code.</w:t>
      </w:r>
    </w:p>
    <w:p>
      <w:pPr>
        <w:spacing w:after="0" w:line="150" w:lineRule="exact"/>
        <w:rPr>
          <w:sz w:val="20"/>
          <w:szCs w:val="20"/>
          <w:color w:val="auto"/>
        </w:rPr>
      </w:pPr>
    </w:p>
    <w:p>
      <w:pPr>
        <w:jc w:val="both"/>
        <w:ind w:left="860" w:right="21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Employee </w:t>
      </w:r>
      <w:r>
        <w:rPr>
          <w:rFonts w:ascii="Times New Roman" w:cs="Times New Roman" w:eastAsia="Times New Roman" w:hAnsi="Times New Roman"/>
          <w:sz w:val="22"/>
          <w:szCs w:val="22"/>
          <w:color w:val="auto"/>
        </w:rPr>
        <w:t>means any employee of the Company or of an Affiliate (including,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limitation, an employee who is also serving as an officer or director of the Company or of an Affiliate), designated by the Administrator to be eligible to be granted one or more Stock Rights under the Plan.</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United States Securities Exchange Act of 1934, as amended.</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Fair Market Value </w:t>
      </w:r>
      <w:r>
        <w:rPr>
          <w:rFonts w:ascii="Times New Roman" w:cs="Times New Roman" w:eastAsia="Times New Roman" w:hAnsi="Times New Roman"/>
          <w:sz w:val="22"/>
          <w:szCs w:val="22"/>
          <w:color w:val="auto"/>
        </w:rPr>
        <w:t>of a Share of Common Stock means:</w:t>
      </w:r>
    </w:p>
    <w:p>
      <w:pPr>
        <w:spacing w:after="0" w:line="210" w:lineRule="exact"/>
        <w:rPr>
          <w:sz w:val="20"/>
          <w:szCs w:val="20"/>
          <w:color w:val="auto"/>
        </w:rPr>
      </w:pPr>
    </w:p>
    <w:p>
      <w:pPr>
        <w:jc w:val="both"/>
        <w:ind w:left="1500" w:right="219"/>
        <w:spacing w:after="0" w:line="236" w:lineRule="auto"/>
        <w:rPr>
          <w:sz w:val="20"/>
          <w:szCs w:val="20"/>
          <w:color w:val="auto"/>
        </w:rPr>
      </w:pPr>
      <w:r>
        <w:rPr>
          <w:rFonts w:ascii="Times New Roman" w:cs="Times New Roman" w:eastAsia="Times New Roman" w:hAnsi="Times New Roman"/>
          <w:sz w:val="22"/>
          <w:szCs w:val="22"/>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81" w:lineRule="exact"/>
        <w:rPr>
          <w:sz w:val="20"/>
          <w:szCs w:val="20"/>
          <w:color w:val="auto"/>
        </w:rPr>
      </w:pPr>
    </w:p>
    <w:p>
      <w:pPr>
        <w:jc w:val="both"/>
        <w:ind w:left="1500" w:right="219"/>
        <w:spacing w:after="0" w:line="235" w:lineRule="auto"/>
        <w:rPr>
          <w:sz w:val="20"/>
          <w:szCs w:val="20"/>
          <w:color w:val="auto"/>
        </w:rPr>
      </w:pPr>
      <w:r>
        <w:rPr>
          <w:rFonts w:ascii="Times New Roman" w:cs="Times New Roman" w:eastAsia="Times New Roman" w:hAnsi="Times New Roman"/>
          <w:sz w:val="22"/>
          <w:szCs w:val="22"/>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most recent the trading day on which Common Stock was traded on the applicable date and if such applicable date is not a trading day, the last market trading day prior to such date; and</w:t>
      </w:r>
    </w:p>
    <w:p>
      <w:pPr>
        <w:spacing w:after="0" w:line="178" w:lineRule="exact"/>
        <w:rPr>
          <w:sz w:val="20"/>
          <w:szCs w:val="20"/>
          <w:color w:val="auto"/>
        </w:rPr>
      </w:pPr>
    </w:p>
    <w:p>
      <w:pPr>
        <w:jc w:val="both"/>
        <w:ind w:left="1500" w:right="219"/>
        <w:spacing w:after="0" w:line="244" w:lineRule="auto"/>
        <w:rPr>
          <w:sz w:val="20"/>
          <w:szCs w:val="20"/>
          <w:color w:val="auto"/>
        </w:rPr>
      </w:pPr>
      <w:r>
        <w:rPr>
          <w:rFonts w:ascii="Times New Roman" w:cs="Times New Roman" w:eastAsia="Times New Roman" w:hAnsi="Times New Roman"/>
          <w:sz w:val="22"/>
          <w:szCs w:val="22"/>
          <w:color w:val="auto"/>
        </w:rPr>
        <w:t>If the Common Stock is neither listed on a national securities exchange nor traded in the over-the-counter market, such value as the Administrator, in good faith, shall determine in compliance with applicable laws.</w:t>
      </w:r>
    </w:p>
    <w:p>
      <w:pPr>
        <w:spacing w:after="0" w:line="169" w:lineRule="exact"/>
        <w:rPr>
          <w:sz w:val="20"/>
          <w:szCs w:val="20"/>
          <w:color w:val="auto"/>
        </w:rPr>
      </w:pPr>
    </w:p>
    <w:p>
      <w:pPr>
        <w:jc w:val="both"/>
        <w:ind w:left="860" w:right="219"/>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Fully Diluted Shares </w:t>
      </w:r>
      <w:r>
        <w:rPr>
          <w:rFonts w:ascii="Times New Roman" w:cs="Times New Roman" w:eastAsia="Times New Roman" w:hAnsi="Times New Roman"/>
          <w:sz w:val="21"/>
          <w:szCs w:val="21"/>
          <w:color w:val="auto"/>
        </w:rPr>
        <w:t>as of a date means an amount equal to the number of shares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Common Stock (i) outstanding and (ii) issuable upon exercise, conversion or settlement of outstanding Stock Rights under the Plan and any other outstanding options, warrants or other securities of the Company that are (directly or indirectly) convertible or exchangeable into or exercisable for shares of Common Stock, in each case as of the close of business of the Company on such date. For purposes of calculating the number of Fully Diluted Shares:</w:t>
      </w:r>
    </w:p>
    <w:p>
      <w:pPr>
        <w:spacing w:after="0" w:line="1" w:lineRule="exact"/>
        <w:rPr>
          <w:sz w:val="20"/>
          <w:szCs w:val="20"/>
          <w:color w:val="auto"/>
        </w:rPr>
      </w:pPr>
    </w:p>
    <w:p>
      <w:pPr>
        <w:jc w:val="both"/>
        <w:ind w:left="860" w:right="219" w:hanging="3"/>
        <w:spacing w:after="0" w:line="245" w:lineRule="auto"/>
        <w:tabs>
          <w:tab w:leader="none" w:pos="122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number of shares subject to an outstanding Stock Right is variable on the applicable date, then the number of shares of Common Stock issuable upon exercise or settlement of the Stock Right shall be the maximum number of shares that could be received under such Stock Right and (y) if two or more types of Stock Rights are granted to a Participant in tandem with each other such that the exercise of one type of Stock Right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35" w:name="page136"/>
    <w:bookmarkEnd w:id="135"/>
    <w:p>
      <w:pPr>
        <w:jc w:val="both"/>
        <w:ind w:left="860" w:right="219"/>
        <w:spacing w:after="0" w:line="239" w:lineRule="auto"/>
        <w:rPr>
          <w:sz w:val="20"/>
          <w:szCs w:val="20"/>
          <w:color w:val="auto"/>
        </w:rPr>
      </w:pPr>
      <w:r>
        <w:rPr>
          <w:rFonts w:ascii="Times New Roman" w:cs="Times New Roman" w:eastAsia="Times New Roman" w:hAnsi="Times New Roman"/>
          <w:sz w:val="22"/>
          <w:szCs w:val="22"/>
          <w:color w:val="auto"/>
        </w:rPr>
        <w:t>with respect to a number of shares cancels at least an equal number of shares of the other, then the number of shares of Common Stock issuable upon exercise or settlement of the Stock Right shall be the largest number of shares that would be counted under either of the Stock Rights.</w:t>
      </w:r>
    </w:p>
    <w:p>
      <w:pPr>
        <w:spacing w:after="0" w:line="176" w:lineRule="exact"/>
        <w:rPr>
          <w:sz w:val="20"/>
          <w:szCs w:val="20"/>
          <w:color w:val="auto"/>
        </w:rPr>
      </w:pPr>
    </w:p>
    <w:p>
      <w:pPr>
        <w:jc w:val="both"/>
        <w:ind w:left="860" w:right="23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ISO </w:t>
      </w:r>
      <w:r>
        <w:rPr>
          <w:rFonts w:ascii="Times New Roman" w:cs="Times New Roman" w:eastAsia="Times New Roman" w:hAnsi="Times New Roman"/>
          <w:sz w:val="22"/>
          <w:szCs w:val="22"/>
          <w:color w:val="auto"/>
        </w:rPr>
        <w:t>means a stock option intended to qualify as an incentive stock option under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422 of the Code.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Non-Qualified Option </w:t>
      </w:r>
      <w:r>
        <w:rPr>
          <w:rFonts w:ascii="Times New Roman" w:cs="Times New Roman" w:eastAsia="Times New Roman" w:hAnsi="Times New Roman"/>
          <w:sz w:val="22"/>
          <w:szCs w:val="22"/>
          <w:color w:val="auto"/>
        </w:rPr>
        <w:t>means a stock option which is not intended to qualify as an ISO.</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Option </w:t>
      </w:r>
      <w:r>
        <w:rPr>
          <w:rFonts w:ascii="Times New Roman" w:cs="Times New Roman" w:eastAsia="Times New Roman" w:hAnsi="Times New Roman"/>
          <w:sz w:val="22"/>
          <w:szCs w:val="22"/>
          <w:color w:val="auto"/>
        </w:rPr>
        <w:t>means an ISO or Non-Qualified Option granted under the Plan.</w:t>
      </w:r>
    </w:p>
    <w:p>
      <w:pPr>
        <w:spacing w:after="0" w:line="206" w:lineRule="exact"/>
        <w:rPr>
          <w:sz w:val="20"/>
          <w:szCs w:val="20"/>
          <w:color w:val="auto"/>
        </w:rPr>
      </w:pPr>
    </w:p>
    <w:p>
      <w:pPr>
        <w:jc w:val="both"/>
        <w:ind w:left="860" w:right="21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means an Employee, director or Consultant of the Company or an Affiliate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whom one or more Stock Rights are granted under the Plan. As used herein, “Participant” shall include “Participant’s Survivors” where the context requires.</w:t>
      </w:r>
    </w:p>
    <w:p>
      <w:pPr>
        <w:spacing w:after="0" w:line="167" w:lineRule="exact"/>
        <w:rPr>
          <w:sz w:val="20"/>
          <w:szCs w:val="20"/>
          <w:color w:val="auto"/>
        </w:rPr>
      </w:pPr>
    </w:p>
    <w:p>
      <w:pPr>
        <w:jc w:val="both"/>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Performance-Based Award </w:t>
      </w:r>
      <w:r>
        <w:rPr>
          <w:rFonts w:ascii="Times New Roman" w:cs="Times New Roman" w:eastAsia="Times New Roman" w:hAnsi="Times New Roman"/>
          <w:sz w:val="22"/>
          <w:szCs w:val="22"/>
          <w:color w:val="auto"/>
        </w:rPr>
        <w:t>means a Stock Grant or Stock-Based Award which vests 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attainment of written Performance Goals as set forth in Paragraph 9 hereof.</w:t>
      </w:r>
    </w:p>
    <w:p>
      <w:pPr>
        <w:spacing w:after="0" w:line="150" w:lineRule="exact"/>
        <w:rPr>
          <w:sz w:val="20"/>
          <w:szCs w:val="20"/>
          <w:color w:val="auto"/>
        </w:rPr>
      </w:pPr>
    </w:p>
    <w:p>
      <w:pPr>
        <w:jc w:val="both"/>
        <w:ind w:left="860" w:right="21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Performance Goals </w:t>
      </w:r>
      <w:r>
        <w:rPr>
          <w:rFonts w:ascii="Times New Roman" w:cs="Times New Roman" w:eastAsia="Times New Roman" w:hAnsi="Times New Roman"/>
          <w:sz w:val="22"/>
          <w:szCs w:val="22"/>
          <w:color w:val="auto"/>
        </w:rPr>
        <w:t>means performance goals determined by the Committee in its sole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Plan </w:t>
      </w:r>
      <w:r>
        <w:rPr>
          <w:rFonts w:ascii="Times New Roman" w:cs="Times New Roman" w:eastAsia="Times New Roman" w:hAnsi="Times New Roman"/>
          <w:sz w:val="22"/>
          <w:szCs w:val="22"/>
          <w:color w:val="auto"/>
        </w:rPr>
        <w:t>means this Gemphire Therapeutics Inc. 2019 Equity Incentive Plan.</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Securities Act </w:t>
      </w:r>
      <w:r>
        <w:rPr>
          <w:rFonts w:ascii="Times New Roman" w:cs="Times New Roman" w:eastAsia="Times New Roman" w:hAnsi="Times New Roman"/>
          <w:sz w:val="22"/>
          <w:szCs w:val="22"/>
          <w:color w:val="auto"/>
        </w:rPr>
        <w:t>means the United States Securities Act of 1933, as amended.</w:t>
      </w:r>
    </w:p>
    <w:p>
      <w:pPr>
        <w:spacing w:after="0" w:line="206" w:lineRule="exact"/>
        <w:rPr>
          <w:sz w:val="20"/>
          <w:szCs w:val="20"/>
          <w:color w:val="auto"/>
        </w:rPr>
      </w:pPr>
    </w:p>
    <w:p>
      <w:pPr>
        <w:jc w:val="both"/>
        <w:ind w:left="860" w:right="21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Shares </w:t>
      </w:r>
      <w:r>
        <w:rPr>
          <w:rFonts w:ascii="Times New Roman" w:cs="Times New Roman" w:eastAsia="Times New Roman" w:hAnsi="Times New Roman"/>
          <w:sz w:val="22"/>
          <w:szCs w:val="22"/>
          <w:color w:val="auto"/>
        </w:rPr>
        <w:t>means shares of the Common Stock as to which Stock Rights have been or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77" w:lineRule="exact"/>
        <w:rPr>
          <w:sz w:val="20"/>
          <w:szCs w:val="20"/>
          <w:color w:val="auto"/>
        </w:rPr>
      </w:pPr>
    </w:p>
    <w:p>
      <w:pPr>
        <w:jc w:val="both"/>
        <w:ind w:left="860" w:right="21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Stock-Based Award </w:t>
      </w:r>
      <w:r>
        <w:rPr>
          <w:rFonts w:ascii="Times New Roman" w:cs="Times New Roman" w:eastAsia="Times New Roman" w:hAnsi="Times New Roman"/>
          <w:sz w:val="22"/>
          <w:szCs w:val="22"/>
          <w:color w:val="auto"/>
        </w:rPr>
        <w:t>means a grant by the Company under the Plan of an equity award or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based award, which is not an Option or a Stock Grant.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i w:val="1"/>
          <w:iCs w:val="1"/>
          <w:color w:val="auto"/>
        </w:rPr>
        <w:t xml:space="preserve">Stock Grant </w:t>
      </w:r>
      <w:r>
        <w:rPr>
          <w:rFonts w:ascii="Times New Roman" w:cs="Times New Roman" w:eastAsia="Times New Roman" w:hAnsi="Times New Roman"/>
          <w:sz w:val="22"/>
          <w:szCs w:val="22"/>
          <w:color w:val="auto"/>
        </w:rPr>
        <w:t>means a grant by the Company of Shares under the Plan.</w:t>
      </w:r>
    </w:p>
    <w:p>
      <w:pPr>
        <w:spacing w:after="0" w:line="206" w:lineRule="exact"/>
        <w:rPr>
          <w:sz w:val="20"/>
          <w:szCs w:val="20"/>
          <w:color w:val="auto"/>
        </w:rPr>
      </w:pPr>
    </w:p>
    <w:p>
      <w:pPr>
        <w:jc w:val="both"/>
        <w:ind w:left="860" w:right="219"/>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Stock Right </w:t>
      </w:r>
      <w:r>
        <w:rPr>
          <w:rFonts w:ascii="Times New Roman" w:cs="Times New Roman" w:eastAsia="Times New Roman" w:hAnsi="Times New Roman"/>
          <w:sz w:val="21"/>
          <w:szCs w:val="21"/>
          <w:color w:val="auto"/>
        </w:rPr>
        <w:t>means a right to Shares or the value of Shares of the Company granted pursuant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the Plan—an ISO, a Non-Qualified Option, a Stock Grant or a Stock-Based Award.</w:t>
      </w:r>
    </w:p>
    <w:p>
      <w:pPr>
        <w:spacing w:after="0" w:line="126" w:lineRule="exact"/>
        <w:rPr>
          <w:sz w:val="20"/>
          <w:szCs w:val="20"/>
          <w:color w:val="auto"/>
        </w:rPr>
      </w:pPr>
    </w:p>
    <w:p>
      <w:pPr>
        <w:jc w:val="both"/>
        <w:ind w:left="860" w:right="21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Survivor </w:t>
      </w:r>
      <w:r>
        <w:rPr>
          <w:rFonts w:ascii="Times New Roman" w:cs="Times New Roman" w:eastAsia="Times New Roman" w:hAnsi="Times New Roman"/>
          <w:sz w:val="22"/>
          <w:szCs w:val="22"/>
          <w:color w:val="auto"/>
        </w:rPr>
        <w:t>means a deceased Participant’s legal representatives and/or any person or persons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 acquired the Participant’s rights to a Stock Right by will or by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ind w:left="860" w:hanging="651"/>
        <w:spacing w:after="0"/>
        <w:tabs>
          <w:tab w:leader="none" w:pos="8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PURPOSES OF THE PLAN.</w:t>
      </w:r>
    </w:p>
    <w:p>
      <w:pPr>
        <w:spacing w:after="0" w:line="212"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62" w:lineRule="exact"/>
        <w:rPr>
          <w:sz w:val="20"/>
          <w:szCs w:val="20"/>
          <w:color w:val="auto"/>
        </w:rPr>
      </w:pPr>
    </w:p>
    <w:p>
      <w:pPr>
        <w:ind w:left="860" w:hanging="651"/>
        <w:spacing w:after="0"/>
        <w:tabs>
          <w:tab w:leader="none" w:pos="8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SHARES SUBJECT TO THE PLAN.</w:t>
      </w:r>
    </w:p>
    <w:p>
      <w:pPr>
        <w:spacing w:after="0" w:line="20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Plan Shares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500" w:right="219"/>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(i)(a)The number of Shares which may be issued from time to time pursuant to this Plan shall be the sum of: (i) 75,000,000 shares of Common Stock and (ii) any shares of Common Stock that are represented by awards granted under the NeuroBo Pharmaceuticals, Inc. 2018 Stock Plan that are forfeited, expire or are cancelled without delivery of shares of Common Stock or which result in the forfeiture of shares of Common Stock back to the Company on or after December 6, 2019, or the equivalent of such number of Shares after the Administrator, in its sole discretion, has interpreted the effect of any stock split, stock dividend, combination, recapitalization or similar transaction in accordance with Paragraph 25 of this Plan; provided, however, that no more than 839,000 Shares shall be added to the Plan pursuant to subsection (ii).</w:t>
      </w:r>
    </w:p>
    <w:p>
      <w:pPr>
        <w:spacing w:after="0" w:line="187" w:lineRule="exact"/>
        <w:rPr>
          <w:rFonts w:ascii="Times New Roman" w:cs="Times New Roman" w:eastAsia="Times New Roman" w:hAnsi="Times New Roman"/>
          <w:sz w:val="22"/>
          <w:szCs w:val="22"/>
          <w:color w:val="auto"/>
        </w:rPr>
      </w:pPr>
    </w:p>
    <w:p>
      <w:pPr>
        <w:jc w:val="both"/>
        <w:ind w:left="1500" w:right="219"/>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(ii)Notwithstanding Subparagraph (a) above, on the first day of each fiscal year of the Company during the period beginning in fiscal year 2020, and ending on the second day of fiscal year 2029, the number of Shares that may be issued from time to time pursuant to the Plan, shall be increased by an amount equal to the lesser of</w:t>
      </w:r>
    </w:p>
    <w:p>
      <w:pPr>
        <w:jc w:val="both"/>
        <w:ind w:left="1500" w:right="219"/>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4% of the number of outstanding shares of Common Stock on such date and (ii) an amount determined by the Administrator. (iii)Notwithstanding any other provision of this Section 3, the aggregate maximum number of shares of Common Stock that may be issued pursuant to the exercise of Incentive Stock Options under this Plan will be 167,000,000 shares of Common Stock.</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or withholding of Shares or if the Company or an Affiliate’s tax withholding obligation is satisfied by the tender or withholding of Shares, the number of Shares deemed to have been issued under the Plan for purposes of the limitation set forth in Paragraph 3(a) above shall be the number of Shares that were subject to the Stock Right or portion thereof, and not the net number of Shares actually issued. In addition, Shares repurchased by the Company with the proceeds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137" w:name="page138"/>
    <w:bookmarkEnd w:id="137"/>
    <w:p>
      <w:pPr>
        <w:jc w:val="both"/>
        <w:ind w:left="1500" w:right="219"/>
        <w:spacing w:after="0" w:line="244" w:lineRule="auto"/>
        <w:rPr>
          <w:sz w:val="20"/>
          <w:szCs w:val="20"/>
          <w:color w:val="auto"/>
        </w:rPr>
      </w:pPr>
      <w:r>
        <w:rPr>
          <w:rFonts w:ascii="Times New Roman" w:cs="Times New Roman" w:eastAsia="Times New Roman" w:hAnsi="Times New Roman"/>
          <w:sz w:val="22"/>
          <w:szCs w:val="22"/>
          <w:color w:val="auto"/>
        </w:rPr>
        <w:t>of the option exercise price may not be reissued under the Plan. However, in the case of ISOs, the foregoing provisions shall be subject to any limitations under the Code.</w:t>
      </w:r>
    </w:p>
    <w:p>
      <w:pPr>
        <w:spacing w:after="0" w:line="167" w:lineRule="exact"/>
        <w:rPr>
          <w:sz w:val="20"/>
          <w:szCs w:val="20"/>
          <w:color w:val="auto"/>
        </w:rPr>
      </w:pPr>
    </w:p>
    <w:p>
      <w:pPr>
        <w:ind w:left="860" w:hanging="651"/>
        <w:spacing w:after="0"/>
        <w:tabs>
          <w:tab w:leader="none" w:pos="8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ADMINISTRATION OF THE PLAN.</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3" w:lineRule="exact"/>
        <w:rPr>
          <w:sz w:val="20"/>
          <w:szCs w:val="20"/>
          <w:color w:val="auto"/>
        </w:rPr>
      </w:pPr>
    </w:p>
    <w:p>
      <w:pPr>
        <w:jc w:val="both"/>
        <w:ind w:left="1500" w:right="239" w:hanging="643"/>
        <w:spacing w:after="0" w:line="244" w:lineRule="auto"/>
        <w:tabs>
          <w:tab w:leader="none" w:pos="1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the provisions of the Plan and all Stock Rights and to make all rules and determinations which it deems necessary or advisable for the administration of the Plan;</w:t>
      </w:r>
    </w:p>
    <w:p>
      <w:pPr>
        <w:spacing w:after="0" w:line="173" w:lineRule="exact"/>
        <w:rPr>
          <w:rFonts w:ascii="Times New Roman" w:cs="Times New Roman" w:eastAsia="Times New Roman" w:hAnsi="Times New Roman"/>
          <w:sz w:val="22"/>
          <w:szCs w:val="22"/>
          <w:color w:val="auto"/>
        </w:rPr>
      </w:pPr>
    </w:p>
    <w:p>
      <w:pPr>
        <w:ind w:left="1500" w:right="239" w:hanging="643"/>
        <w:spacing w:after="0" w:line="258" w:lineRule="auto"/>
        <w:tabs>
          <w:tab w:leader="none" w:pos="1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which Employees, directors and Consultants shall be granted Stock Rights;</w:t>
      </w:r>
    </w:p>
    <w:p>
      <w:pPr>
        <w:spacing w:after="0" w:line="158"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Shares for which a Stock Right or Stock Rights shall be granted, provided however that in no event shall the aggregate grant date fair value of Stock Rights to be granted to any non-employee director under the Plan in any calendar year exceed $500,000, except that the aggregate grant date fair value of Stock Rights to be granted to any non-employee director in the calendar year in which such director commences his or her service with the Company shall not exceed $1,000,000;</w:t>
      </w:r>
    </w:p>
    <w:p>
      <w:pPr>
        <w:spacing w:after="0" w:line="183" w:lineRule="exact"/>
        <w:rPr>
          <w:rFonts w:ascii="Times New Roman" w:cs="Times New Roman" w:eastAsia="Times New Roman" w:hAnsi="Times New Roman"/>
          <w:sz w:val="22"/>
          <w:szCs w:val="22"/>
          <w:color w:val="auto"/>
        </w:rPr>
      </w:pPr>
    </w:p>
    <w:p>
      <w:pPr>
        <w:ind w:left="1500" w:right="239" w:hanging="643"/>
        <w:spacing w:after="0" w:line="258" w:lineRule="auto"/>
        <w:tabs>
          <w:tab w:leader="none" w:pos="1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terms and conditions upon which a Stock Right or Stock Rights may be granted;</w:t>
      </w:r>
    </w:p>
    <w:p>
      <w:pPr>
        <w:spacing w:after="0" w:line="158"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term or condition of any outstanding Stock Right, other than reducing the exercise price or purchase price or extending the expiration date of an Option, provided that (i) such term or condition as amended is not prohibited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w:t>
      </w:r>
    </w:p>
    <w:p>
      <w:pPr>
        <w:spacing w:after="0" w:line="187" w:lineRule="exact"/>
        <w:rPr>
          <w:rFonts w:ascii="Times New Roman" w:cs="Times New Roman" w:eastAsia="Times New Roman" w:hAnsi="Times New Roman"/>
          <w:sz w:val="22"/>
          <w:szCs w:val="22"/>
          <w:color w:val="auto"/>
        </w:rPr>
      </w:pPr>
    </w:p>
    <w:p>
      <w:pPr>
        <w:ind w:left="1500" w:right="239" w:hanging="643"/>
        <w:spacing w:after="0" w:line="258" w:lineRule="auto"/>
        <w:tabs>
          <w:tab w:leader="none" w:pos="1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and make any adjustments in the Performance Goals included in any Performance-Based Awards in compliance with (d) above; and</w:t>
      </w:r>
    </w:p>
    <w:p>
      <w:pPr>
        <w:spacing w:after="0" w:line="158"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8" w:name="page139"/>
    <w:bookmarkEnd w:id="138"/>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additional restrictions or conditions applicable to Stock Rights or Shares issuable pursuant to a Stock Right;</w:t>
      </w:r>
    </w:p>
    <w:p>
      <w:pPr>
        <w:spacing w:after="0" w:line="158"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provided, however, that all such interpretations, rules, determinations, terms and conditions shall be made and prescribed in the context of potential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77" w:lineRule="exact"/>
        <w:rPr>
          <w:sz w:val="20"/>
          <w:szCs w:val="20"/>
          <w:color w:val="auto"/>
        </w:rPr>
      </w:pPr>
    </w:p>
    <w:p>
      <w:pPr>
        <w:ind w:left="860" w:hanging="651"/>
        <w:spacing w:after="0"/>
        <w:tabs>
          <w:tab w:leader="none" w:pos="8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ELIGIBILITY FOR PARTICIPATION.</w:t>
      </w:r>
    </w:p>
    <w:p>
      <w:pPr>
        <w:spacing w:after="0" w:line="21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176" w:lineRule="exact"/>
        <w:rPr>
          <w:sz w:val="20"/>
          <w:szCs w:val="20"/>
          <w:color w:val="auto"/>
        </w:rPr>
      </w:pPr>
    </w:p>
    <w:p>
      <w:pPr>
        <w:ind w:left="860" w:hanging="651"/>
        <w:spacing w:after="0"/>
        <w:tabs>
          <w:tab w:leader="none" w:pos="8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TERMS AND CONDITIONS OF OPTIONS.</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9" w:name="page140"/>
    <w:bookmarkEnd w:id="139"/>
    <w:p>
      <w:pPr>
        <w:jc w:val="both"/>
        <w:ind w:left="1500" w:right="219" w:hanging="643"/>
        <w:spacing w:after="0" w:line="241" w:lineRule="auto"/>
        <w:tabs>
          <w:tab w:leader="none" w:pos="150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Non-Qualified Options</w:t>
      </w:r>
      <w:r>
        <w:rPr>
          <w:rFonts w:ascii="Times New Roman" w:cs="Times New Roman" w:eastAsia="Times New Roman" w:hAnsi="Times New Roman"/>
          <w:sz w:val="22"/>
          <w:szCs w:val="22"/>
          <w:color w:val="auto"/>
        </w:rPr>
        <w:t>: Each Option intended to be a Non-Qualified Option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subject to the terms and conditions which the Administrator determines to be appropriate and in the best interest of the Company, subject to the following minimum standards for any such Non-Qualified Option:</w:t>
      </w:r>
    </w:p>
    <w:p>
      <w:pPr>
        <w:spacing w:after="0" w:line="171" w:lineRule="exact"/>
        <w:rPr>
          <w:rFonts w:ascii="Times New Roman" w:cs="Times New Roman" w:eastAsia="Times New Roman" w:hAnsi="Times New Roman"/>
          <w:sz w:val="22"/>
          <w:szCs w:val="22"/>
          <w:color w:val="auto"/>
        </w:rPr>
      </w:pPr>
    </w:p>
    <w:p>
      <w:pPr>
        <w:jc w:val="both"/>
        <w:ind w:left="2160" w:right="219" w:hanging="655"/>
        <w:spacing w:after="0" w:line="238" w:lineRule="auto"/>
        <w:tabs>
          <w:tab w:leader="none" w:pos="2160"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Each Option Agreement shall state the exercise price (per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 of the Shares covered by each Option, which exercise price shall be determined by the Administrator and shall be at least equal to the Fair Market Value per share of the Common Stock on the date of grant of the Option.</w:t>
      </w:r>
    </w:p>
    <w:p>
      <w:pPr>
        <w:spacing w:after="0" w:line="176" w:lineRule="exact"/>
        <w:rPr>
          <w:rFonts w:ascii="Times New Roman" w:cs="Times New Roman" w:eastAsia="Times New Roman" w:hAnsi="Times New Roman"/>
          <w:sz w:val="22"/>
          <w:szCs w:val="22"/>
          <w:color w:val="auto"/>
        </w:rPr>
      </w:pPr>
    </w:p>
    <w:p>
      <w:pPr>
        <w:ind w:left="2160" w:right="219" w:hanging="655"/>
        <w:spacing w:after="0" w:line="262" w:lineRule="auto"/>
        <w:tabs>
          <w:tab w:leader="none" w:pos="216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Number of Shares</w:t>
      </w:r>
      <w:r>
        <w:rPr>
          <w:rFonts w:ascii="Times New Roman" w:cs="Times New Roman" w:eastAsia="Times New Roman" w:hAnsi="Times New Roman"/>
          <w:sz w:val="22"/>
          <w:szCs w:val="22"/>
          <w:color w:val="auto"/>
        </w:rPr>
        <w:t>: Each Option Agreement shall state the number of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which it pertains.</w:t>
      </w:r>
    </w:p>
    <w:p>
      <w:pPr>
        <w:spacing w:after="0" w:line="149" w:lineRule="exact"/>
        <w:rPr>
          <w:rFonts w:ascii="Times New Roman" w:cs="Times New Roman" w:eastAsia="Times New Roman" w:hAnsi="Times New Roman"/>
          <w:sz w:val="18"/>
          <w:szCs w:val="18"/>
          <w:color w:val="auto"/>
        </w:rPr>
      </w:pPr>
    </w:p>
    <w:p>
      <w:pPr>
        <w:jc w:val="both"/>
        <w:ind w:left="2160" w:right="219" w:hanging="655"/>
        <w:spacing w:after="0" w:line="238" w:lineRule="auto"/>
        <w:tabs>
          <w:tab w:leader="none" w:pos="216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Each Option Agreement shall state the date or dates on which it first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76" w:lineRule="exact"/>
        <w:rPr>
          <w:rFonts w:ascii="Times New Roman" w:cs="Times New Roman" w:eastAsia="Times New Roman" w:hAnsi="Times New Roman"/>
          <w:sz w:val="18"/>
          <w:szCs w:val="18"/>
          <w:color w:val="auto"/>
        </w:rPr>
      </w:pPr>
    </w:p>
    <w:p>
      <w:pPr>
        <w:jc w:val="both"/>
        <w:ind w:left="2160" w:right="219" w:hanging="655"/>
        <w:spacing w:after="0" w:line="241" w:lineRule="auto"/>
        <w:tabs>
          <w:tab w:leader="none" w:pos="216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Additional Conditions</w:t>
      </w:r>
      <w:r>
        <w:rPr>
          <w:rFonts w:ascii="Times New Roman" w:cs="Times New Roman" w:eastAsia="Times New Roman" w:hAnsi="Times New Roman"/>
          <w:sz w:val="22"/>
          <w:szCs w:val="22"/>
          <w:color w:val="auto"/>
        </w:rPr>
        <w:t>: Exercise of any Option may be conditioned upon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execution of a shareholders agreement in a form satisfactory to the Administrator providing for certain protections for the Company and its other shareholders, including requirements that:</w:t>
      </w:r>
    </w:p>
    <w:p>
      <w:pPr>
        <w:spacing w:after="0" w:line="175" w:lineRule="exact"/>
        <w:rPr>
          <w:rFonts w:ascii="Times New Roman" w:cs="Times New Roman" w:eastAsia="Times New Roman" w:hAnsi="Times New Roman"/>
          <w:sz w:val="18"/>
          <w:szCs w:val="18"/>
          <w:color w:val="auto"/>
        </w:rPr>
      </w:pPr>
    </w:p>
    <w:p>
      <w:pPr>
        <w:ind w:left="2800" w:right="239" w:hanging="647"/>
        <w:spacing w:after="0" w:line="258" w:lineRule="auto"/>
        <w:tabs>
          <w:tab w:leader="none" w:pos="2800" w:val="left"/>
        </w:tabs>
        <w:numPr>
          <w:ilvl w:val="3"/>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or the Participant’s Survivors’ right to sell or transfer the Shares may be restricted; and</w:t>
      </w:r>
    </w:p>
    <w:p>
      <w:pPr>
        <w:spacing w:after="0" w:line="158" w:lineRule="exact"/>
        <w:rPr>
          <w:rFonts w:ascii="Times New Roman" w:cs="Times New Roman" w:eastAsia="Times New Roman" w:hAnsi="Times New Roman"/>
          <w:sz w:val="22"/>
          <w:szCs w:val="22"/>
          <w:color w:val="auto"/>
        </w:rPr>
      </w:pPr>
    </w:p>
    <w:p>
      <w:pPr>
        <w:jc w:val="both"/>
        <w:ind w:left="2800" w:right="219" w:hanging="647"/>
        <w:spacing w:after="0" w:line="244" w:lineRule="auto"/>
        <w:tabs>
          <w:tab w:leader="none" w:pos="2800" w:val="left"/>
        </w:tabs>
        <w:numPr>
          <w:ilvl w:val="3"/>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or the Participant’s Survivors may be required to execute letters of investment intent and must also acknowledge that the Shares will bear legends noting any applicable restrictions.</w:t>
      </w:r>
    </w:p>
    <w:p>
      <w:pPr>
        <w:spacing w:after="0" w:line="169" w:lineRule="exact"/>
        <w:rPr>
          <w:rFonts w:ascii="Times New Roman" w:cs="Times New Roman" w:eastAsia="Times New Roman" w:hAnsi="Times New Roman"/>
          <w:sz w:val="22"/>
          <w:szCs w:val="22"/>
          <w:color w:val="auto"/>
        </w:rPr>
      </w:pPr>
    </w:p>
    <w:p>
      <w:pPr>
        <w:jc w:val="both"/>
        <w:ind w:left="2160" w:right="219" w:hanging="655"/>
        <w:spacing w:after="0" w:line="246" w:lineRule="auto"/>
        <w:tabs>
          <w:tab w:leader="none" w:pos="216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Term of Option</w:t>
      </w:r>
      <w:r>
        <w:rPr>
          <w:rFonts w:ascii="Times New Roman" w:cs="Times New Roman" w:eastAsia="Times New Roman" w:hAnsi="Times New Roman"/>
          <w:sz w:val="22"/>
          <w:szCs w:val="22"/>
          <w:color w:val="auto"/>
        </w:rPr>
        <w:t>: Each Option shall terminate not more than ten years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of the grant or at such earlier time as the Option Agreement may provide.</w:t>
      </w:r>
    </w:p>
    <w:p>
      <w:pPr>
        <w:spacing w:after="0" w:line="167" w:lineRule="exact"/>
        <w:rPr>
          <w:rFonts w:ascii="Times New Roman" w:cs="Times New Roman" w:eastAsia="Times New Roman" w:hAnsi="Times New Roman"/>
          <w:sz w:val="18"/>
          <w:szCs w:val="18"/>
          <w:color w:val="auto"/>
        </w:rPr>
      </w:pPr>
    </w:p>
    <w:p>
      <w:pPr>
        <w:jc w:val="both"/>
        <w:ind w:left="860" w:right="219" w:hanging="651"/>
        <w:spacing w:after="0" w:line="238" w:lineRule="auto"/>
        <w:tabs>
          <w:tab w:leader="none" w:pos="8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ISOs</w:t>
      </w:r>
      <w:r>
        <w:rPr>
          <w:rFonts w:ascii="Times New Roman" w:cs="Times New Roman" w:eastAsia="Times New Roman" w:hAnsi="Times New Roman"/>
          <w:sz w:val="22"/>
          <w:szCs w:val="22"/>
          <w:color w:val="auto"/>
        </w:rPr>
        <w:t>: Each Option intended to be an ISO shall be issued only to an Employee who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176" w:lineRule="exact"/>
        <w:rPr>
          <w:rFonts w:ascii="Times New Roman" w:cs="Times New Roman" w:eastAsia="Times New Roman" w:hAnsi="Times New Roman"/>
          <w:sz w:val="22"/>
          <w:szCs w:val="22"/>
          <w:color w:val="auto"/>
        </w:rPr>
      </w:pPr>
    </w:p>
    <w:p>
      <w:pPr>
        <w:jc w:val="both"/>
        <w:ind w:left="2160" w:right="219" w:hanging="655"/>
        <w:spacing w:after="0" w:line="255" w:lineRule="auto"/>
        <w:tabs>
          <w:tab w:leader="none" w:pos="2160"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i w:val="1"/>
          <w:iCs w:val="1"/>
          <w:color w:val="auto"/>
        </w:rPr>
        <w:t>Minimum Standards</w:t>
      </w:r>
      <w:r>
        <w:rPr>
          <w:rFonts w:ascii="Times New Roman" w:cs="Times New Roman" w:eastAsia="Times New Roman" w:hAnsi="Times New Roman"/>
          <w:sz w:val="21"/>
          <w:szCs w:val="21"/>
          <w:color w:val="auto"/>
        </w:rPr>
        <w:t>: The ISO shall meet the minimum standards required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Non-Qualified Options, as described in Paragraph 6(a) above, except clause</w:t>
      </w:r>
    </w:p>
    <w:p>
      <w:pPr>
        <w:ind w:left="2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(i) and (v) thereunder.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40" w:name="page141"/>
    <w:bookmarkEnd w:id="140"/>
    <w:p>
      <w:pPr>
        <w:jc w:val="both"/>
        <w:ind w:left="2160" w:right="219" w:hanging="655"/>
        <w:spacing w:after="0" w:line="246" w:lineRule="auto"/>
        <w:tabs>
          <w:tab w:leader="none" w:pos="21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Immediately before the ISO is granted, if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owns, directly or by reason of the applicable attribution rules in Section 424(d) of the Code:</w:t>
      </w:r>
    </w:p>
    <w:p>
      <w:pPr>
        <w:spacing w:after="0" w:line="167" w:lineRule="exact"/>
        <w:rPr>
          <w:rFonts w:ascii="Times New Roman" w:cs="Times New Roman" w:eastAsia="Times New Roman" w:hAnsi="Times New Roman"/>
          <w:sz w:val="18"/>
          <w:szCs w:val="18"/>
          <w:color w:val="auto"/>
        </w:rPr>
      </w:pPr>
    </w:p>
    <w:p>
      <w:pPr>
        <w:jc w:val="both"/>
        <w:ind w:left="2800" w:right="219" w:hanging="647"/>
        <w:spacing w:after="0" w:line="238" w:lineRule="auto"/>
        <w:tabs>
          <w:tab w:leader="none" w:pos="2800"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 </w:t>
      </w:r>
      <w:r>
        <w:rPr>
          <w:rFonts w:ascii="Times New Roman" w:cs="Times New Roman" w:eastAsia="Times New Roman" w:hAnsi="Times New Roman"/>
          <w:sz w:val="22"/>
          <w:szCs w:val="22"/>
          <w:i w:val="1"/>
          <w:iCs w:val="1"/>
          <w:color w:val="auto"/>
        </w:rPr>
        <w:t>or less</w:t>
      </w:r>
      <w:r>
        <w:rPr>
          <w:rFonts w:ascii="Times New Roman" w:cs="Times New Roman" w:eastAsia="Times New Roman" w:hAnsi="Times New Roman"/>
          <w:sz w:val="22"/>
          <w:szCs w:val="22"/>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80" w:lineRule="exact"/>
        <w:rPr>
          <w:rFonts w:ascii="Times New Roman" w:cs="Times New Roman" w:eastAsia="Times New Roman" w:hAnsi="Times New Roman"/>
          <w:sz w:val="22"/>
          <w:szCs w:val="22"/>
          <w:color w:val="auto"/>
        </w:rPr>
      </w:pPr>
    </w:p>
    <w:p>
      <w:pPr>
        <w:jc w:val="both"/>
        <w:ind w:left="2800" w:right="219" w:hanging="647"/>
        <w:spacing w:after="0" w:line="238" w:lineRule="auto"/>
        <w:tabs>
          <w:tab w:leader="none" w:pos="2800"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7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Term of Option</w:t>
      </w:r>
      <w:r>
        <w:rPr>
          <w:rFonts w:ascii="Times New Roman" w:cs="Times New Roman" w:eastAsia="Times New Roman" w:hAnsi="Times New Roman"/>
          <w:sz w:val="22"/>
          <w:szCs w:val="22"/>
          <w:color w:val="auto"/>
        </w:rPr>
        <w:t>: For Participants who own:</w:t>
      </w:r>
    </w:p>
    <w:p>
      <w:pPr>
        <w:spacing w:after="0" w:line="206" w:lineRule="exact"/>
        <w:rPr>
          <w:rFonts w:ascii="Times New Roman" w:cs="Times New Roman" w:eastAsia="Times New Roman" w:hAnsi="Times New Roman"/>
          <w:sz w:val="18"/>
          <w:szCs w:val="18"/>
          <w:color w:val="auto"/>
        </w:rPr>
      </w:pPr>
    </w:p>
    <w:p>
      <w:pPr>
        <w:jc w:val="both"/>
        <w:ind w:left="2160" w:right="219" w:hanging="655"/>
        <w:spacing w:after="0" w:line="237" w:lineRule="auto"/>
        <w:tabs>
          <w:tab w:leader="none" w:pos="21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Limitation on Yearly Exercise</w:t>
      </w:r>
      <w:r>
        <w:rPr>
          <w:rFonts w:ascii="Times New Roman" w:cs="Times New Roman" w:eastAsia="Times New Roman" w:hAnsi="Times New Roman"/>
          <w:sz w:val="22"/>
          <w:szCs w:val="22"/>
          <w:color w:val="auto"/>
        </w:rPr>
        <w:t>: The Option Agreements shall restrict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75" w:lineRule="exact"/>
        <w:rPr>
          <w:rFonts w:ascii="Times New Roman" w:cs="Times New Roman" w:eastAsia="Times New Roman" w:hAnsi="Times New Roman"/>
          <w:sz w:val="18"/>
          <w:szCs w:val="18"/>
          <w:color w:val="auto"/>
        </w:rPr>
      </w:pPr>
    </w:p>
    <w:p>
      <w:pPr>
        <w:jc w:val="both"/>
        <w:ind w:left="2800" w:right="219" w:hanging="647"/>
        <w:spacing w:after="0" w:line="241" w:lineRule="auto"/>
        <w:tabs>
          <w:tab w:leader="none" w:pos="2800"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 </w:t>
      </w:r>
      <w:r>
        <w:rPr>
          <w:rFonts w:ascii="Times New Roman" w:cs="Times New Roman" w:eastAsia="Times New Roman" w:hAnsi="Times New Roman"/>
          <w:sz w:val="22"/>
          <w:szCs w:val="22"/>
          <w:i w:val="1"/>
          <w:iCs w:val="1"/>
          <w:color w:val="auto"/>
        </w:rPr>
        <w:t>or less</w:t>
      </w:r>
      <w:r>
        <w:rPr>
          <w:rFonts w:ascii="Times New Roman" w:cs="Times New Roman" w:eastAsia="Times New Roman" w:hAnsi="Times New Roman"/>
          <w:sz w:val="22"/>
          <w:szCs w:val="22"/>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75" w:lineRule="exact"/>
        <w:rPr>
          <w:rFonts w:ascii="Times New Roman" w:cs="Times New Roman" w:eastAsia="Times New Roman" w:hAnsi="Times New Roman"/>
          <w:sz w:val="22"/>
          <w:szCs w:val="22"/>
          <w:color w:val="auto"/>
        </w:rPr>
      </w:pPr>
    </w:p>
    <w:p>
      <w:pPr>
        <w:jc w:val="both"/>
        <w:ind w:left="2800" w:right="219" w:hanging="647"/>
        <w:spacing w:after="0" w:line="239" w:lineRule="auto"/>
        <w:tabs>
          <w:tab w:leader="none" w:pos="2800"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4"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TERMS AND CONDITIONS OF STOCK GRANTS.</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77" w:lineRule="exact"/>
        <w:rPr>
          <w:sz w:val="20"/>
          <w:szCs w:val="20"/>
          <w:color w:val="auto"/>
        </w:rPr>
      </w:pPr>
    </w:p>
    <w:p>
      <w:pPr>
        <w:jc w:val="both"/>
        <w:ind w:left="1500" w:right="219" w:hanging="643"/>
        <w:spacing w:after="0" w:line="238" w:lineRule="auto"/>
        <w:tabs>
          <w:tab w:leader="none" w:pos="15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41" w:name="page142"/>
    <w:bookmarkEnd w:id="141"/>
    <w:p>
      <w:pPr>
        <w:ind w:left="1500" w:right="239" w:hanging="643"/>
        <w:spacing w:after="0" w:line="258" w:lineRule="auto"/>
        <w:tabs>
          <w:tab w:leader="none" w:pos="15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shall state the number of Shares to which the Stock Grant pertains; and</w:t>
      </w:r>
    </w:p>
    <w:p>
      <w:pPr>
        <w:spacing w:after="0" w:line="158" w:lineRule="exact"/>
        <w:rPr>
          <w:rFonts w:ascii="Times New Roman" w:cs="Times New Roman" w:eastAsia="Times New Roman" w:hAnsi="Times New Roman"/>
          <w:sz w:val="22"/>
          <w:szCs w:val="22"/>
          <w:color w:val="auto"/>
        </w:rPr>
      </w:pPr>
    </w:p>
    <w:p>
      <w:pPr>
        <w:jc w:val="both"/>
        <w:ind w:left="1500" w:right="219" w:hanging="643"/>
        <w:spacing w:after="0" w:line="239" w:lineRule="auto"/>
        <w:tabs>
          <w:tab w:leader="none" w:pos="15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w:t>
      </w:r>
    </w:p>
    <w:p>
      <w:pPr>
        <w:spacing w:after="0" w:line="174"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TERMS AND CONDITIONS OF OTHER STOCK-BASED AWARDS.</w:t>
      </w:r>
    </w:p>
    <w:p>
      <w:pPr>
        <w:spacing w:after="0" w:line="21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Under no circumstances may the Agreement covering stock appreciation rights (a) have an exercise or base price (per share) that is less than the Fair Market Value per share of Common Stock on the date of grant or (b) expire more than ten years following the date of grant.</w:t>
      </w:r>
    </w:p>
    <w:p>
      <w:pPr>
        <w:spacing w:after="0" w:line="180"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The Company intends that the Plan and any Stock-Based Awards granted hereunder be exempt from the application of Section 409A of the Code or meet the requirements of paragraphs</w:t>
      </w:r>
    </w:p>
    <w:p>
      <w:pPr>
        <w:spacing w:after="0" w:line="2"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effect the intent as described in this Paragraph 8.</w:t>
      </w:r>
    </w:p>
    <w:p>
      <w:pPr>
        <w:spacing w:after="0" w:line="173" w:lineRule="exact"/>
        <w:rPr>
          <w:sz w:val="20"/>
          <w:szCs w:val="20"/>
          <w:color w:val="auto"/>
        </w:rPr>
      </w:pPr>
    </w:p>
    <w:p>
      <w:pPr>
        <w:ind w:left="860" w:hanging="651"/>
        <w:spacing w:after="0"/>
        <w:tabs>
          <w:tab w:leader="none" w:pos="8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PERFORMANCE-BASED AWARDS.</w:t>
      </w:r>
    </w:p>
    <w:p>
      <w:pPr>
        <w:spacing w:after="0" w:line="212"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w:t>
      </w:r>
    </w:p>
    <w:p>
      <w:pPr>
        <w:spacing w:after="0" w:line="164" w:lineRule="exact"/>
        <w:rPr>
          <w:sz w:val="20"/>
          <w:szCs w:val="20"/>
          <w:color w:val="auto"/>
        </w:rPr>
      </w:pPr>
    </w:p>
    <w:p>
      <w:pPr>
        <w:ind w:left="860" w:hanging="651"/>
        <w:spacing w:after="0"/>
        <w:tabs>
          <w:tab w:leader="none" w:pos="8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EXERCISE OF OPTIONS AND ISSUE OF SHARES.</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2" w:name="page143"/>
    <w:bookmarkEnd w:id="142"/>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185"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77" w:lineRule="exact"/>
        <w:rPr>
          <w:sz w:val="20"/>
          <w:szCs w:val="20"/>
          <w:color w:val="auto"/>
        </w:rPr>
      </w:pPr>
    </w:p>
    <w:p>
      <w:pPr>
        <w:ind w:left="200" w:right="619" w:firstLine="9"/>
        <w:spacing w:after="0" w:line="264" w:lineRule="auto"/>
        <w:tabs>
          <w:tab w:leader="none" w:pos="84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PAYMENT IN CONNECTION WITH THE ISSUANCE OF STOCK GRANTS AND STOCK-BASED AWARDS AND ISSUE OF SHARES.</w:t>
      </w:r>
    </w:p>
    <w:p>
      <w:pPr>
        <w:spacing w:after="0" w:line="151"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17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3" w:name="page144"/>
    <w:bookmarkEnd w:id="143"/>
    <w:p>
      <w:pPr>
        <w:ind w:left="200" w:right="239"/>
        <w:spacing w:after="0" w:line="258" w:lineRule="auto"/>
        <w:rPr>
          <w:sz w:val="20"/>
          <w:szCs w:val="20"/>
          <w:color w:val="auto"/>
        </w:rPr>
      </w:pPr>
      <w:r>
        <w:rPr>
          <w:rFonts w:ascii="Times New Roman" w:cs="Times New Roman" w:eastAsia="Times New Roman" w:hAnsi="Times New Roman"/>
          <w:sz w:val="22"/>
          <w:szCs w:val="22"/>
          <w:color w:val="auto"/>
        </w:rPr>
        <w:t>laws) which requires the Company to take any action with respect to the Shares prior to their issuance.</w:t>
      </w:r>
    </w:p>
    <w:p>
      <w:pPr>
        <w:spacing w:after="0" w:line="152" w:lineRule="exact"/>
        <w:rPr>
          <w:sz w:val="20"/>
          <w:szCs w:val="20"/>
          <w:color w:val="auto"/>
        </w:rPr>
      </w:pPr>
    </w:p>
    <w:p>
      <w:pPr>
        <w:ind w:left="860" w:hanging="651"/>
        <w:spacing w:after="0"/>
        <w:tabs>
          <w:tab w:leader="none" w:pos="8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RIGHTS AS A SHAREHOLDER.</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71" w:lineRule="exact"/>
        <w:rPr>
          <w:sz w:val="20"/>
          <w:szCs w:val="20"/>
          <w:color w:val="auto"/>
        </w:rPr>
      </w:pPr>
    </w:p>
    <w:p>
      <w:pPr>
        <w:ind w:left="860" w:hanging="651"/>
        <w:spacing w:after="0"/>
        <w:tabs>
          <w:tab w:leader="none" w:pos="8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ASSIGNABILITY AND TRANSFERABILITY OF STOCK RIGHTS.</w:t>
      </w:r>
    </w:p>
    <w:p>
      <w:pPr>
        <w:spacing w:after="0" w:line="21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74" w:lineRule="exact"/>
        <w:rPr>
          <w:sz w:val="20"/>
          <w:szCs w:val="20"/>
          <w:color w:val="auto"/>
        </w:rPr>
      </w:pPr>
    </w:p>
    <w:p>
      <w:pPr>
        <w:ind w:left="200" w:right="759" w:firstLine="9"/>
        <w:spacing w:after="0" w:line="264" w:lineRule="auto"/>
        <w:tabs>
          <w:tab w:leader="none" w:pos="84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ON OPTIONS OF TERMINATION OF SERVICE OTHER THAN FOR CAUSE OR DEATH OR DISABILITY.</w:t>
      </w:r>
    </w:p>
    <w:p>
      <w:pPr>
        <w:spacing w:after="0" w:line="15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173" w:lineRule="exact"/>
        <w:rPr>
          <w:sz w:val="20"/>
          <w:szCs w:val="20"/>
          <w:color w:val="auto"/>
        </w:rPr>
      </w:pPr>
    </w:p>
    <w:p>
      <w:pPr>
        <w:jc w:val="both"/>
        <w:ind w:left="1500" w:right="219" w:hanging="643"/>
        <w:spacing w:after="0" w:line="235" w:lineRule="auto"/>
        <w:tabs>
          <w:tab w:leader="none" w:pos="15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ceases to be an Employee, director or Consultant of the Company or of an Affiliate (for any reason other than termination for Cause, Disability, or death for which events there are special rules in Paragraphs 15, 16, and 17, respectively), may exercise any Option granted to him or her to the extent that the Option is exercisable on the date of such termination of service, but only within such term as the Administrator has designated in a Participant’s Option Agreement.</w:t>
      </w:r>
    </w:p>
    <w:p>
      <w:pPr>
        <w:spacing w:after="0" w:line="183" w:lineRule="exact"/>
        <w:rPr>
          <w:rFonts w:ascii="Times New Roman" w:cs="Times New Roman" w:eastAsia="Times New Roman" w:hAnsi="Times New Roman"/>
          <w:sz w:val="22"/>
          <w:szCs w:val="22"/>
          <w:color w:val="auto"/>
        </w:rPr>
      </w:pPr>
    </w:p>
    <w:p>
      <w:pPr>
        <w:jc w:val="both"/>
        <w:ind w:left="1500" w:right="239" w:hanging="643"/>
        <w:spacing w:after="0" w:line="244" w:lineRule="auto"/>
        <w:tabs>
          <w:tab w:leader="none" w:pos="15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Subparagraph (c) below, or Paragraph 16 or 17, in no event may an Option intended to be an ISO, be exercised later than three months after the Participant’s termination of employment.</w:t>
      </w:r>
    </w:p>
    <w:p>
      <w:pPr>
        <w:spacing w:after="0" w:line="173" w:lineRule="exact"/>
        <w:rPr>
          <w:rFonts w:ascii="Times New Roman" w:cs="Times New Roman" w:eastAsia="Times New Roman" w:hAnsi="Times New Roman"/>
          <w:sz w:val="22"/>
          <w:szCs w:val="22"/>
          <w:color w:val="auto"/>
        </w:rPr>
      </w:pPr>
    </w:p>
    <w:p>
      <w:pPr>
        <w:ind w:left="1500" w:right="239" w:hanging="643"/>
        <w:spacing w:after="0" w:line="258" w:lineRule="auto"/>
        <w:tabs>
          <w:tab w:leader="none" w:pos="15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Paragraph, and not the provisions of Paragraph 16 or 17, shall apply to a Participant who subsequently becomes Disabled or dies after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4" w:name="page145"/>
    <w:bookmarkEnd w:id="144"/>
    <w:p>
      <w:pPr>
        <w:jc w:val="both"/>
        <w:ind w:left="1500" w:right="219"/>
        <w:spacing w:after="0" w:line="236" w:lineRule="auto"/>
        <w:rPr>
          <w:sz w:val="20"/>
          <w:szCs w:val="20"/>
          <w:color w:val="auto"/>
        </w:rPr>
      </w:pPr>
      <w:r>
        <w:rPr>
          <w:rFonts w:ascii="Times New Roman" w:cs="Times New Roman" w:eastAsia="Times New Roman" w:hAnsi="Times New Roman"/>
          <w:sz w:val="22"/>
          <w:szCs w:val="22"/>
          <w:color w:val="auto"/>
        </w:rPr>
        <w:t>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181" w:lineRule="exact"/>
        <w:rPr>
          <w:sz w:val="20"/>
          <w:szCs w:val="20"/>
          <w:color w:val="auto"/>
        </w:rPr>
      </w:pPr>
    </w:p>
    <w:p>
      <w:pPr>
        <w:jc w:val="both"/>
        <w:ind w:left="1500" w:right="219" w:hanging="643"/>
        <w:spacing w:after="0" w:line="236" w:lineRule="auto"/>
        <w:tabs>
          <w:tab w:leader="none" w:pos="15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187" w:lineRule="exact"/>
        <w:rPr>
          <w:rFonts w:ascii="Times New Roman" w:cs="Times New Roman" w:eastAsia="Times New Roman" w:hAnsi="Times New Roman"/>
          <w:sz w:val="22"/>
          <w:szCs w:val="22"/>
          <w:color w:val="auto"/>
        </w:rPr>
      </w:pPr>
    </w:p>
    <w:p>
      <w:pPr>
        <w:jc w:val="both"/>
        <w:ind w:left="1500" w:right="219" w:hanging="643"/>
        <w:spacing w:after="0" w:line="238" w:lineRule="auto"/>
        <w:tabs>
          <w:tab w:leader="none" w:pos="150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70"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ON OPTIONS OF TERMINATION OF SERVICE FOR CAUSE.</w:t>
      </w:r>
    </w:p>
    <w:p>
      <w:pPr>
        <w:spacing w:after="0" w:line="21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80" w:lineRule="exact"/>
        <w:rPr>
          <w:sz w:val="20"/>
          <w:szCs w:val="20"/>
          <w:color w:val="auto"/>
        </w:rPr>
      </w:pPr>
    </w:p>
    <w:p>
      <w:pPr>
        <w:ind w:left="1500" w:right="219" w:hanging="643"/>
        <w:spacing w:after="0" w:line="258" w:lineRule="auto"/>
        <w:tabs>
          <w:tab w:leader="none" w:pos="15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and unexercised Options as of the time the Participant is notified his or her service is terminated for Cause will immediately be forfeited.</w:t>
      </w:r>
    </w:p>
    <w:p>
      <w:pPr>
        <w:spacing w:after="0" w:line="158" w:lineRule="exact"/>
        <w:rPr>
          <w:rFonts w:ascii="Times New Roman" w:cs="Times New Roman" w:eastAsia="Times New Roman" w:hAnsi="Times New Roman"/>
          <w:sz w:val="22"/>
          <w:szCs w:val="22"/>
          <w:color w:val="auto"/>
        </w:rPr>
      </w:pPr>
    </w:p>
    <w:p>
      <w:pPr>
        <w:jc w:val="both"/>
        <w:ind w:left="1500" w:right="219" w:hanging="643"/>
        <w:spacing w:after="0" w:line="251" w:lineRule="auto"/>
        <w:tabs>
          <w:tab w:leader="none" w:pos="150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5" w:name="page146"/>
    <w:bookmarkEnd w:id="145"/>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conduct which would constitute Cause, then the right to exercise any Option is forfeited.</w:t>
      </w:r>
    </w:p>
    <w:p>
      <w:pPr>
        <w:spacing w:after="0" w:line="152" w:lineRule="exact"/>
        <w:rPr>
          <w:sz w:val="20"/>
          <w:szCs w:val="20"/>
          <w:color w:val="auto"/>
        </w:rPr>
      </w:pPr>
    </w:p>
    <w:p>
      <w:pPr>
        <w:ind w:left="860" w:right="899" w:hanging="651"/>
        <w:spacing w:after="0" w:line="438" w:lineRule="auto"/>
        <w:tabs>
          <w:tab w:leader="none" w:pos="8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EFFECT ON OPTIONS OF TERMINATION OF SERVICE FOR DISABILITY. </w:t>
      </w:r>
      <w:r>
        <w:rPr>
          <w:rFonts w:ascii="Times New Roman" w:cs="Times New Roman" w:eastAsia="Times New Roman" w:hAnsi="Times New Roman"/>
          <w:sz w:val="22"/>
          <w:szCs w:val="22"/>
          <w:color w:val="auto"/>
        </w:rPr>
        <w:t>Except as otherwise provided in a Participant’s Option Agreement:</w:t>
      </w:r>
    </w:p>
    <w:p>
      <w:pPr>
        <w:jc w:val="both"/>
        <w:ind w:left="1500" w:right="219" w:hanging="643"/>
        <w:spacing w:after="0" w:line="246" w:lineRule="auto"/>
        <w:tabs>
          <w:tab w:leader="none" w:pos="1500"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who ceases to be an Employee, director or Consultant of the Company or of an Affiliate by reason of Disability may exercise any Option granted to such Participant to the extent that the Option has become exercisable but has not been exercised on the date of the Participant’s termination of service due to Disability; and 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70" w:lineRule="exact"/>
        <w:rPr>
          <w:rFonts w:ascii="Times New Roman" w:cs="Times New Roman" w:eastAsia="Times New Roman" w:hAnsi="Times New Roman"/>
          <w:sz w:val="21"/>
          <w:szCs w:val="21"/>
          <w:color w:val="auto"/>
        </w:rPr>
      </w:pPr>
    </w:p>
    <w:p>
      <w:pPr>
        <w:jc w:val="both"/>
        <w:ind w:left="1500" w:right="219" w:hanging="643"/>
        <w:spacing w:after="0" w:line="236" w:lineRule="auto"/>
        <w:tabs>
          <w:tab w:leader="none" w:pos="150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75" w:lineRule="exact"/>
        <w:rPr>
          <w:rFonts w:ascii="Times New Roman" w:cs="Times New Roman" w:eastAsia="Times New Roman" w:hAnsi="Times New Roman"/>
          <w:sz w:val="22"/>
          <w:szCs w:val="22"/>
          <w:color w:val="auto"/>
        </w:rPr>
      </w:pPr>
    </w:p>
    <w:p>
      <w:pPr>
        <w:ind w:left="200" w:right="899" w:firstLine="9"/>
        <w:spacing w:after="0" w:line="264" w:lineRule="auto"/>
        <w:tabs>
          <w:tab w:leader="none" w:pos="84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ON OPTIONS OF DEATH WHILE AN EMPLOYEE, DIRECTOR OR CONSULTANT.</w:t>
      </w:r>
    </w:p>
    <w:p>
      <w:pPr>
        <w:spacing w:after="0" w:line="1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Except as otherwise provided in a Participant’s Option Agreement:</w:t>
      </w:r>
    </w:p>
    <w:p>
      <w:pPr>
        <w:spacing w:after="0" w:line="206" w:lineRule="exact"/>
        <w:rPr>
          <w:sz w:val="20"/>
          <w:szCs w:val="20"/>
          <w:color w:val="auto"/>
        </w:rPr>
      </w:pPr>
    </w:p>
    <w:p>
      <w:pPr>
        <w:jc w:val="both"/>
        <w:ind w:left="1500" w:right="219" w:hanging="643"/>
        <w:spacing w:after="0" w:line="234" w:lineRule="auto"/>
        <w:tabs>
          <w:tab w:leader="none" w:pos="15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6" w:name="page147"/>
    <w:bookmarkEnd w:id="146"/>
    <w:p>
      <w:pPr>
        <w:jc w:val="both"/>
        <w:ind w:left="1500" w:right="219" w:hanging="643"/>
        <w:spacing w:after="0" w:line="236" w:lineRule="auto"/>
        <w:tabs>
          <w:tab w:leader="none" w:pos="150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75" w:lineRule="exact"/>
        <w:rPr>
          <w:rFonts w:ascii="Times New Roman" w:cs="Times New Roman" w:eastAsia="Times New Roman" w:hAnsi="Times New Roman"/>
          <w:sz w:val="22"/>
          <w:szCs w:val="22"/>
          <w:color w:val="auto"/>
        </w:rPr>
      </w:pPr>
    </w:p>
    <w:p>
      <w:pPr>
        <w:ind w:left="200" w:right="539" w:firstLine="9"/>
        <w:spacing w:after="0" w:line="264" w:lineRule="auto"/>
        <w:tabs>
          <w:tab w:leader="none" w:pos="84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OF TERMINATION OF SERVICE ON UNACCEPTED STOCK GRANTS AND STOCK-BASED AWARDS.</w:t>
      </w:r>
    </w:p>
    <w:p>
      <w:pPr>
        <w:spacing w:after="0" w:line="151"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5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8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In addition, for purposes of this Paragraph 18 and Paragraph 19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74" w:lineRule="exact"/>
        <w:rPr>
          <w:sz w:val="20"/>
          <w:szCs w:val="20"/>
          <w:color w:val="auto"/>
        </w:rPr>
      </w:pPr>
    </w:p>
    <w:p>
      <w:pPr>
        <w:ind w:left="200" w:right="419" w:firstLine="9"/>
        <w:spacing w:after="0" w:line="264" w:lineRule="auto"/>
        <w:tabs>
          <w:tab w:leader="none" w:pos="84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ON STOCK GRANTS AND STOCK-BASED AWARDS OF TERMINATION OF SERVICE OTHER THAN FOR CAUSE, DEATH or DISABILITY.</w:t>
      </w:r>
    </w:p>
    <w:p>
      <w:pPr>
        <w:spacing w:after="0" w:line="151"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Except as otherwise provided in a Participant’s Agreement, in the event of a termination of service for any reason (whether as an Employee, director or Consultant), other than termination for Cause, death or Disability for which there are special rules in Paragraphs 20, 21, and 22 below, before all forfeiture provisions or Company rights of repurchase shall have lapsed, then the Company shall have the right to cancel or repurchase that number of Shares subject to a Stock Grant or Stock-Based Award as to which the Company’s forfeiture or repurchase rights have not lapsed.</w:t>
      </w:r>
    </w:p>
    <w:p>
      <w:pPr>
        <w:spacing w:after="0" w:line="177" w:lineRule="exact"/>
        <w:rPr>
          <w:sz w:val="20"/>
          <w:szCs w:val="20"/>
          <w:color w:val="auto"/>
        </w:rPr>
      </w:pPr>
    </w:p>
    <w:p>
      <w:pPr>
        <w:ind w:left="200" w:right="419" w:firstLine="9"/>
        <w:spacing w:after="0" w:line="264" w:lineRule="auto"/>
        <w:tabs>
          <w:tab w:leader="none" w:pos="84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ON STOCK GRANTS AND STOCK-BASED AWARDS OF TERMINATION OF SERVICE FOR CAUSE.</w:t>
      </w:r>
    </w:p>
    <w:p>
      <w:pPr>
        <w:spacing w:after="0" w:line="15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Except as otherwise provided in a Participant’s Agreement, the following rules apply if the Participant’s service (whether as an Employee, director or Consultant) with the Company or an Affiliate is terminated for Cause:</w:t>
      </w:r>
    </w:p>
    <w:p>
      <w:pPr>
        <w:spacing w:after="0" w:line="173" w:lineRule="exact"/>
        <w:rPr>
          <w:sz w:val="20"/>
          <w:szCs w:val="20"/>
          <w:color w:val="auto"/>
        </w:rPr>
      </w:pPr>
    </w:p>
    <w:p>
      <w:pPr>
        <w:jc w:val="both"/>
        <w:ind w:left="1500" w:right="239" w:hanging="643"/>
        <w:spacing w:after="0" w:line="282" w:lineRule="auto"/>
        <w:tabs>
          <w:tab w:leader="none" w:pos="150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Shares subject to any Stock Grant or Stock-Based Award that remain subject to forfeiture provisions or as to which the Company shall have a repurchase right shall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7" w:name="page148"/>
    <w:bookmarkEnd w:id="147"/>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be immediately forfeited to the Company as of the time the Participant is notified his or her service is terminated for Cause.</w:t>
      </w:r>
    </w:p>
    <w:p>
      <w:pPr>
        <w:spacing w:after="0" w:line="158" w:lineRule="exact"/>
        <w:rPr>
          <w:sz w:val="20"/>
          <w:szCs w:val="20"/>
          <w:color w:val="auto"/>
        </w:rPr>
      </w:pPr>
    </w:p>
    <w:p>
      <w:pPr>
        <w:jc w:val="both"/>
        <w:ind w:left="1500" w:right="219" w:hanging="643"/>
        <w:spacing w:after="0" w:line="234" w:lineRule="auto"/>
        <w:tabs>
          <w:tab w:leader="none" w:pos="150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or Stock-Based Award that remained subject to forfeiture provisions or as to which the Company had a repurchase right on the date of termination shall be immediately forfeited to the Company.</w:t>
      </w:r>
    </w:p>
    <w:p>
      <w:pPr>
        <w:spacing w:after="0" w:line="177" w:lineRule="exact"/>
        <w:rPr>
          <w:rFonts w:ascii="Times New Roman" w:cs="Times New Roman" w:eastAsia="Times New Roman" w:hAnsi="Times New Roman"/>
          <w:sz w:val="22"/>
          <w:szCs w:val="22"/>
          <w:color w:val="auto"/>
        </w:rPr>
      </w:pPr>
    </w:p>
    <w:p>
      <w:pPr>
        <w:ind w:left="200" w:right="419" w:firstLine="9"/>
        <w:spacing w:after="0" w:line="264" w:lineRule="auto"/>
        <w:tabs>
          <w:tab w:leader="none" w:pos="84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ON STOCK GRANTS AND STOCK-BASED AWARDS OF TERMINATION OF SERVICE FOR DISABILITY.</w:t>
      </w:r>
    </w:p>
    <w:p>
      <w:pPr>
        <w:spacing w:after="0" w:line="151"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Disability as would have lapsed had the Participant not become Disabled. The proration shall be based upon the number of days accrued prior to the date of Disability.</w:t>
      </w:r>
    </w:p>
    <w:p>
      <w:pPr>
        <w:spacing w:after="0" w:line="183"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62" w:lineRule="exact"/>
        <w:rPr>
          <w:sz w:val="20"/>
          <w:szCs w:val="20"/>
          <w:color w:val="auto"/>
        </w:rPr>
      </w:pPr>
    </w:p>
    <w:p>
      <w:pPr>
        <w:ind w:left="200" w:right="419" w:firstLine="9"/>
        <w:spacing w:after="0" w:line="264" w:lineRule="auto"/>
        <w:tabs>
          <w:tab w:leader="none" w:pos="84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 ON STOCK GRANTS AND STOCK-BASED AWARDS OF DEATH WHILE AN EMPLOYEE, DIRECTOR OR CONSULTANT.</w:t>
      </w:r>
    </w:p>
    <w:p>
      <w:pPr>
        <w:spacing w:after="0" w:line="151"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177" w:lineRule="exact"/>
        <w:rPr>
          <w:sz w:val="20"/>
          <w:szCs w:val="20"/>
          <w:color w:val="auto"/>
        </w:rPr>
      </w:pPr>
    </w:p>
    <w:p>
      <w:pPr>
        <w:ind w:left="860" w:hanging="651"/>
        <w:spacing w:after="0"/>
        <w:tabs>
          <w:tab w:leader="none" w:pos="8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PURCHASE FOR INVESTMENT.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8" w:name="page149"/>
    <w:bookmarkEnd w:id="148"/>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73" w:lineRule="exact"/>
        <w:rPr>
          <w:sz w:val="20"/>
          <w:szCs w:val="20"/>
          <w:color w:val="auto"/>
        </w:rPr>
      </w:pPr>
    </w:p>
    <w:p>
      <w:pPr>
        <w:jc w:val="both"/>
        <w:ind w:left="1500" w:right="219" w:hanging="643"/>
        <w:spacing w:after="0" w:line="235" w:lineRule="auto"/>
        <w:tabs>
          <w:tab w:leader="none" w:pos="150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 of a Stock Right:</w:t>
      </w:r>
    </w:p>
    <w:p>
      <w:pPr>
        <w:spacing w:after="0" w:line="183" w:lineRule="exact"/>
        <w:rPr>
          <w:rFonts w:ascii="Times New Roman" w:cs="Times New Roman" w:eastAsia="Times New Roman" w:hAnsi="Times New Roman"/>
          <w:sz w:val="22"/>
          <w:szCs w:val="22"/>
          <w:color w:val="auto"/>
        </w:rPr>
      </w:pPr>
    </w:p>
    <w:p>
      <w:pPr>
        <w:jc w:val="both"/>
        <w:ind w:left="1500" w:right="219"/>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shares represented by this certificate have been taken for investment and they may not be sold or otherwise transferred by any person, including a pledgee, unless</w:t>
      </w:r>
    </w:p>
    <w:p>
      <w:pPr>
        <w:jc w:val="both"/>
        <w:ind w:left="1500" w:right="219" w:firstLine="5"/>
        <w:spacing w:after="0" w:line="233" w:lineRule="auto"/>
        <w:tabs>
          <w:tab w:leader="none" w:pos="1815" w:val="left"/>
        </w:tabs>
        <w:numPr>
          <w:ilvl w:val="2"/>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79"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discretion of the Administrator, the Company shall have received an opinion of its counsel that the Shares may be issued in compliance with the Securities Act without registration thereunder.</w:t>
      </w:r>
    </w:p>
    <w:p>
      <w:pPr>
        <w:spacing w:after="0" w:line="167"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DISSOLUTION OR LIQUIDATION OF THE COMPANY.</w:t>
      </w:r>
    </w:p>
    <w:p>
      <w:pPr>
        <w:spacing w:after="0" w:line="21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81" w:lineRule="exact"/>
        <w:rPr>
          <w:sz w:val="20"/>
          <w:szCs w:val="20"/>
          <w:color w:val="auto"/>
        </w:rPr>
      </w:pPr>
    </w:p>
    <w:p>
      <w:pPr>
        <w:ind w:left="860" w:hanging="651"/>
        <w:spacing w:after="0"/>
        <w:tabs>
          <w:tab w:leader="none" w:pos="8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ADJUSTMENTS.</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69" w:lineRule="exact"/>
        <w:rPr>
          <w:sz w:val="20"/>
          <w:szCs w:val="20"/>
          <w:color w:val="auto"/>
        </w:rPr>
      </w:pPr>
    </w:p>
    <w:p>
      <w:pPr>
        <w:jc w:val="both"/>
        <w:ind w:left="1500" w:right="219" w:hanging="643"/>
        <w:spacing w:after="0" w:line="241" w:lineRule="auto"/>
        <w:tabs>
          <w:tab w:leader="none" w:pos="15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Dividends and Stock Splits</w:t>
      </w:r>
      <w:r>
        <w:rPr>
          <w:rFonts w:ascii="Times New Roman" w:cs="Times New Roman" w:eastAsia="Times New Roman" w:hAnsi="Times New Roman"/>
          <w:sz w:val="22"/>
          <w:szCs w:val="22"/>
          <w:color w:val="auto"/>
        </w:rPr>
        <w:t>. If (i) the shares of Common Stock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subdivided or combined into a greater or smaller number of shares or if the Company shall issue any shares of Common Stock as a stock dividend on its outstanding Common Stock, or (ii) additional shares or new or different shares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9" w:name="page150"/>
    <w:bookmarkEnd w:id="149"/>
    <w:p>
      <w:pPr>
        <w:jc w:val="both"/>
        <w:ind w:left="1500" w:right="219"/>
        <w:spacing w:after="0" w:line="235" w:lineRule="auto"/>
        <w:rPr>
          <w:sz w:val="20"/>
          <w:szCs w:val="20"/>
          <w:color w:val="auto"/>
        </w:rPr>
      </w:pPr>
      <w:r>
        <w:rPr>
          <w:rFonts w:ascii="Times New Roman" w:cs="Times New Roman" w:eastAsia="Times New Roman" w:hAnsi="Times New Roman"/>
          <w:sz w:val="22"/>
          <w:szCs w:val="22"/>
          <w:color w:val="auto"/>
        </w:rPr>
        <w:t>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 3(a) and 4(c) shall also be proportionately adjusted upon the occurrence of such events.</w:t>
      </w:r>
    </w:p>
    <w:p>
      <w:pPr>
        <w:spacing w:after="0" w:line="174" w:lineRule="exact"/>
        <w:rPr>
          <w:sz w:val="20"/>
          <w:szCs w:val="20"/>
          <w:color w:val="auto"/>
        </w:rPr>
      </w:pPr>
    </w:p>
    <w:p>
      <w:pPr>
        <w:jc w:val="both"/>
        <w:ind w:left="1500" w:right="219" w:hanging="643"/>
        <w:spacing w:after="0" w:line="243" w:lineRule="auto"/>
        <w:tabs>
          <w:tab w:leader="none" w:pos="150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Corporate Transactions</w:t>
      </w:r>
      <w:r>
        <w:rPr>
          <w:rFonts w:ascii="Times New Roman" w:cs="Times New Roman" w:eastAsia="Times New Roman" w:hAnsi="Times New Roman"/>
          <w:sz w:val="21"/>
          <w:szCs w:val="21"/>
          <w:color w:val="auto"/>
        </w:rPr>
        <w:t>. If the Company is to be consolidated with or acquired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another entity in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w:t>
      </w:r>
    </w:p>
    <w:p>
      <w:pPr>
        <w:spacing w:after="0" w:line="2" w:lineRule="exact"/>
        <w:rPr>
          <w:rFonts w:ascii="Times New Roman" w:cs="Times New Roman" w:eastAsia="Times New Roman" w:hAnsi="Times New Roman"/>
          <w:sz w:val="21"/>
          <w:szCs w:val="21"/>
          <w:color w:val="auto"/>
        </w:rPr>
      </w:pPr>
    </w:p>
    <w:p>
      <w:pPr>
        <w:jc w:val="both"/>
        <w:ind w:left="1500" w:right="239" w:firstLine="5"/>
        <w:spacing w:after="0" w:line="232" w:lineRule="auto"/>
        <w:tabs>
          <w:tab w:leader="none" w:pos="1848"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discretion of the Administrator, any such Options being made partially or fully exercisable for purposes of this Subparagraph) </w:t>
      </w:r>
      <w:r>
        <w:rPr>
          <w:rFonts w:ascii="Times New Roman" w:cs="Times New Roman" w:eastAsia="Times New Roman" w:hAnsi="Times New Roman"/>
          <w:sz w:val="22"/>
          <w:szCs w:val="22"/>
          <w:i w:val="1"/>
          <w:iCs w:val="1"/>
          <w:color w:val="auto"/>
        </w:rPr>
        <w:t>less the aggregate</w:t>
      </w:r>
      <w:r>
        <w:rPr>
          <w:rFonts w:ascii="Times New Roman" w:cs="Times New Roman" w:eastAsia="Times New Roman" w:hAnsi="Times New Roman"/>
          <w:sz w:val="22"/>
          <w:szCs w:val="22"/>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8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0" w:name="page151"/>
    <w:bookmarkEnd w:id="150"/>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A Stock Right may be subject to additional acceleration of vesting and exercisability upon or after a change of control as may be provided in the Agreement for such Stock Right, in any other written agreement between the Company or any Affiliate and the Participant or in any director compensation policy of the Company.</w:t>
      </w:r>
    </w:p>
    <w:p>
      <w:pPr>
        <w:spacing w:after="0" w:line="176" w:lineRule="exact"/>
        <w:rPr>
          <w:sz w:val="20"/>
          <w:szCs w:val="20"/>
          <w:color w:val="auto"/>
        </w:rPr>
      </w:pPr>
    </w:p>
    <w:p>
      <w:pPr>
        <w:jc w:val="both"/>
        <w:ind w:left="1500" w:right="219" w:hanging="643"/>
        <w:spacing w:after="0" w:line="235" w:lineRule="auto"/>
        <w:tabs>
          <w:tab w:leader="none" w:pos="15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Recapitalization or Reorganization. </w:t>
      </w:r>
      <w:r>
        <w:rPr>
          <w:rFonts w:ascii="Times New Roman" w:cs="Times New Roman" w:eastAsia="Times New Roman" w:hAnsi="Times New Roman"/>
          <w:sz w:val="22"/>
          <w:szCs w:val="22"/>
          <w:color w:val="auto"/>
        </w:rPr>
        <w:t>In the event of a recapitalization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73" w:lineRule="exact"/>
        <w:rPr>
          <w:rFonts w:ascii="Times New Roman" w:cs="Times New Roman" w:eastAsia="Times New Roman" w:hAnsi="Times New Roman"/>
          <w:sz w:val="22"/>
          <w:szCs w:val="22"/>
          <w:color w:val="auto"/>
        </w:rPr>
      </w:pPr>
    </w:p>
    <w:p>
      <w:pPr>
        <w:jc w:val="both"/>
        <w:ind w:left="1500" w:right="219" w:hanging="643"/>
        <w:spacing w:after="0" w:line="236" w:lineRule="auto"/>
        <w:tabs>
          <w:tab w:leader="none" w:pos="15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Adjustments to Stock-Based Awards. </w:t>
      </w:r>
      <w:r>
        <w:rPr>
          <w:rFonts w:ascii="Times New Roman" w:cs="Times New Roman" w:eastAsia="Times New Roman" w:hAnsi="Times New Roman"/>
          <w:sz w:val="22"/>
          <w:szCs w:val="22"/>
          <w:color w:val="auto"/>
        </w:rPr>
        <w:t>Upon the happening of any of the events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spacing w:after="0" w:line="175" w:lineRule="exact"/>
        <w:rPr>
          <w:rFonts w:ascii="Times New Roman" w:cs="Times New Roman" w:eastAsia="Times New Roman" w:hAnsi="Times New Roman"/>
          <w:sz w:val="22"/>
          <w:szCs w:val="22"/>
          <w:color w:val="auto"/>
        </w:rPr>
      </w:pPr>
    </w:p>
    <w:p>
      <w:pPr>
        <w:jc w:val="both"/>
        <w:ind w:left="1500" w:right="219" w:hanging="643"/>
        <w:spacing w:after="0" w:line="233" w:lineRule="auto"/>
        <w:tabs>
          <w:tab w:leader="none" w:pos="15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Modification of Options. </w:t>
      </w:r>
      <w:r>
        <w:rPr>
          <w:rFonts w:ascii="Times New Roman" w:cs="Times New Roman" w:eastAsia="Times New Roman" w:hAnsi="Times New Roman"/>
          <w:sz w:val="22"/>
          <w:szCs w:val="22"/>
          <w:color w:val="auto"/>
        </w:rPr>
        <w:t>Notwithstanding the foregoing, any adjustments made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in its discretion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175"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ISSUANCES OF SECURITIES.</w:t>
      </w:r>
    </w:p>
    <w:p>
      <w:pPr>
        <w:spacing w:after="0" w:line="212" w:lineRule="exact"/>
        <w:rPr>
          <w:sz w:val="20"/>
          <w:szCs w:val="20"/>
          <w:color w:val="auto"/>
        </w:rPr>
      </w:pPr>
    </w:p>
    <w:p>
      <w:pPr>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Except as expressly provided herein, no issuance by the Company of shares of stock of any class, or securities convertible into shares of stock of any class, shall affect, and no adjustment by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1" w:name="page152"/>
    <w:bookmarkEnd w:id="151"/>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74" w:lineRule="exact"/>
        <w:rPr>
          <w:sz w:val="20"/>
          <w:szCs w:val="20"/>
          <w:color w:val="auto"/>
        </w:rPr>
      </w:pPr>
    </w:p>
    <w:p>
      <w:pPr>
        <w:ind w:left="860" w:hanging="651"/>
        <w:spacing w:after="0"/>
        <w:tabs>
          <w:tab w:leader="none" w:pos="8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FRACTIONAL SHARES.</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No fractional shares shall be issued under the Plan and the person exercising a Stock Right shall receive from the Company cash in lieu of such fractional shares equal to the Fair Market Value thereof.</w:t>
      </w:r>
    </w:p>
    <w:p>
      <w:pPr>
        <w:spacing w:after="0" w:line="167" w:lineRule="exact"/>
        <w:rPr>
          <w:sz w:val="20"/>
          <w:szCs w:val="20"/>
          <w:color w:val="auto"/>
        </w:rPr>
      </w:pPr>
    </w:p>
    <w:p>
      <w:pPr>
        <w:ind w:left="860" w:hanging="651"/>
        <w:spacing w:after="0"/>
        <w:tabs>
          <w:tab w:leader="none" w:pos="8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WITHHOLDING.</w:t>
      </w:r>
    </w:p>
    <w:p>
      <w:pPr>
        <w:spacing w:after="0" w:line="21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In the event that any federal, state, or local income taxes, employment taxes, Federal Insurance Contributions Act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w:t>
      </w:r>
    </w:p>
    <w:p>
      <w:pPr>
        <w:spacing w:after="0" w:line="171" w:lineRule="exact"/>
        <w:rPr>
          <w:sz w:val="20"/>
          <w:szCs w:val="20"/>
          <w:color w:val="auto"/>
        </w:rPr>
      </w:pPr>
    </w:p>
    <w:p>
      <w:pPr>
        <w:ind w:left="860" w:hanging="651"/>
        <w:spacing w:after="0"/>
        <w:tabs>
          <w:tab w:leader="none" w:pos="8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NOTICE TO COMPANY OF DISQUALIFYING DISPOSITION.</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72" w:lineRule="exact"/>
        <w:rPr>
          <w:sz w:val="20"/>
          <w:szCs w:val="20"/>
          <w:color w:val="auto"/>
        </w:rPr>
      </w:pPr>
    </w:p>
    <w:p>
      <w:pPr>
        <w:ind w:left="860" w:hanging="651"/>
        <w:spacing w:after="0"/>
        <w:tabs>
          <w:tab w:leader="none" w:pos="8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TERMINATION OF THE PLAN.</w:t>
      </w:r>
    </w:p>
    <w:p>
      <w:pPr>
        <w:spacing w:after="0" w:line="208"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 xml:space="preserve">The Plan will terminate on August 29, 2029, the date which is ten years from the </w:t>
      </w:r>
      <w:r>
        <w:rPr>
          <w:rFonts w:ascii="Times New Roman" w:cs="Times New Roman" w:eastAsia="Times New Roman" w:hAnsi="Times New Roman"/>
          <w:sz w:val="22"/>
          <w:szCs w:val="22"/>
          <w:i w:val="1"/>
          <w:iCs w:val="1"/>
          <w:color w:val="auto"/>
        </w:rPr>
        <w:t>earlier</w:t>
      </w:r>
      <w:r>
        <w:rPr>
          <w:rFonts w:ascii="Times New Roman" w:cs="Times New Roman" w:eastAsia="Times New Roman" w:hAnsi="Times New Roman"/>
          <w:sz w:val="22"/>
          <w:szCs w:val="22"/>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2" w:name="page153"/>
    <w:bookmarkEnd w:id="152"/>
    <w:p>
      <w:pPr>
        <w:ind w:left="860" w:hanging="651"/>
        <w:spacing w:after="0"/>
        <w:tabs>
          <w:tab w:leader="none" w:pos="8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AMENDMENT OF THE PLAN AND AGREEMENTS.</w:t>
      </w:r>
    </w:p>
    <w:p>
      <w:pPr>
        <w:spacing w:after="0" w:line="212"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of the Code and to the extent necessary to qualify the Shares issuable under the Plan for listing on any national securities exchange or quotation in any national automated quotation system of securities dealers. Other than as set forth in Paragraph 25 of the Plan, at any time when the exercise price of such Option is above the fair market value of a share, the Administrator may not without shareholder approval reduce the exercise price of an Option or cancel any outstanding Option of Common Stock in exchange for (i) a replacement option having a lower exercise price, (ii) a Stock Grant, (iii) any other Stock-Based Award or (iv) for cash. In addition the Administrator shall not take any other action that is considered a direct or indirect “repricing” for purposes of the shareholder approval rules of the applicable securities exchange or inter-dealer quotation system on which the Shares are listed, including any other action that is treated as a repricing under generally accepted accounting principles. Any modification or amendment of the Plan shall not, without the consent of a Participant, adversely affect his or her rights under a Stock Right previously granted to him or her,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31 shall limit the Administrator’s authority to take any action permitted pursuant to Paragraph 25.</w:t>
      </w:r>
    </w:p>
    <w:p>
      <w:pPr>
        <w:spacing w:after="0" w:line="171" w:lineRule="exact"/>
        <w:rPr>
          <w:sz w:val="20"/>
          <w:szCs w:val="20"/>
          <w:color w:val="auto"/>
        </w:rPr>
      </w:pPr>
    </w:p>
    <w:p>
      <w:pPr>
        <w:ind w:left="860" w:hanging="651"/>
        <w:spacing w:after="0"/>
        <w:tabs>
          <w:tab w:leader="none" w:pos="8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EMPLOYMENT OR OTHER RELATIONSHIP.</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71" w:lineRule="exact"/>
        <w:rPr>
          <w:sz w:val="20"/>
          <w:szCs w:val="20"/>
          <w:color w:val="auto"/>
        </w:rPr>
      </w:pPr>
    </w:p>
    <w:p>
      <w:pPr>
        <w:ind w:left="860" w:hanging="651"/>
        <w:spacing w:after="0"/>
        <w:tabs>
          <w:tab w:leader="none" w:pos="8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SECTION 409A.</w:t>
      </w:r>
    </w:p>
    <w:p>
      <w:pPr>
        <w:spacing w:after="0" w:line="21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If a Participant is a “specified employee” as defined in Section 409A of the Code (and as applied according to procedures of the Company and its Affiliates) as of his separation from service, to the extent any payment under this Plan or pursuant to the grant of a Stock-Based Award constitutes deferred compensation (after taking into account any applicable exemptions from Section 409A of the Code), and to the extent required by Section 409A of the Code, no payments due under this Plan or pursuant to a Stock-Based Award may be made until the earlier of: (i) the first day of the seventh month following the Participant’s separation from service, or (ii) the Participant’s date of death; provided, however, that any payments delayed during this six-month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153" w:name="page154"/>
    <w:bookmarkEnd w:id="153"/>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period shall be paid in the aggregate in a lump sum, without interest, on the first day of the seventh month following the Participant’s separation from service.</w:t>
      </w:r>
    </w:p>
    <w:p>
      <w:pPr>
        <w:spacing w:after="0" w:line="15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The Administrator shall administer the Plan with a view toward ensuring that Stock Rights under the Plan that are subject to Section 409A of the Code comply with the requirements thereof and that Options under the Plan be exempt from the requirements of Section 409A of the Code, but neither the Administrator nor any member of the Board of Directors, nor the Company nor any of its Affiliates, nor any other person acting hereunder on behalf of the Company, the Administrator or the Board of Directors shall be liable to a Participant or any Survivor by reason of the acceleration of any income, or the imposition of any additional tax or penalty, with respect to a Stock Right, whether by reason of a failure to satisfy the requirements of Section 409A of the Code or otherwise.</w:t>
      </w:r>
    </w:p>
    <w:p>
      <w:pPr>
        <w:spacing w:after="0" w:line="177" w:lineRule="exact"/>
        <w:rPr>
          <w:sz w:val="20"/>
          <w:szCs w:val="20"/>
          <w:color w:val="auto"/>
        </w:rPr>
      </w:pPr>
    </w:p>
    <w:p>
      <w:pPr>
        <w:ind w:left="860" w:hanging="651"/>
        <w:spacing w:after="0"/>
        <w:tabs>
          <w:tab w:leader="none" w:pos="8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INDEMNITY.</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172" w:lineRule="exact"/>
        <w:rPr>
          <w:sz w:val="20"/>
          <w:szCs w:val="20"/>
          <w:color w:val="auto"/>
        </w:rPr>
      </w:pPr>
    </w:p>
    <w:p>
      <w:pPr>
        <w:ind w:left="860" w:hanging="651"/>
        <w:spacing w:after="0"/>
        <w:tabs>
          <w:tab w:leader="none" w:pos="86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CLAWBACK.</w:t>
      </w:r>
    </w:p>
    <w:p>
      <w:pPr>
        <w:spacing w:after="0" w:line="21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74" w:lineRule="exact"/>
        <w:rPr>
          <w:sz w:val="20"/>
          <w:szCs w:val="20"/>
          <w:color w:val="auto"/>
        </w:rPr>
      </w:pPr>
    </w:p>
    <w:p>
      <w:pPr>
        <w:ind w:left="860" w:hanging="651"/>
        <w:spacing w:after="0"/>
        <w:tabs>
          <w:tab w:leader="none" w:pos="8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GOVERNING LAW.</w:t>
      </w:r>
    </w:p>
    <w:p>
      <w:pPr>
        <w:spacing w:after="0" w:line="212"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This Plan shall be construed and enforced in accordance with the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Incentive Stock Option Agreement</w:t>
      </w:r>
    </w:p>
    <w:p>
      <w:pPr>
        <w:spacing w:after="0" w:line="31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1"/>
          <w:szCs w:val="21"/>
          <w:color w:val="auto"/>
        </w:rPr>
        <w:t>This Incentive Stock Option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as of the below Grant Date by and between NeuroBo Pharmaceuticals,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________</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Capitalized terms used but not defined herein</w:t>
      </w:r>
    </w:p>
    <w:p>
      <w:pPr>
        <w:spacing w:after="0" w:line="2" w:lineRule="exact"/>
        <w:rPr>
          <w:sz w:val="20"/>
          <w:szCs w:val="20"/>
          <w:color w:val="auto"/>
        </w:rPr>
      </w:pPr>
    </w:p>
    <w:p>
      <w:pPr>
        <w:jc w:val="both"/>
        <w:ind w:left="200" w:right="239"/>
        <w:spacing w:after="0" w:line="237" w:lineRule="auto"/>
        <w:rPr>
          <w:sz w:val="20"/>
          <w:szCs w:val="20"/>
          <w:color w:val="auto"/>
        </w:rPr>
      </w:pPr>
      <w:r>
        <w:rPr>
          <w:rFonts w:ascii="Times New Roman" w:cs="Times New Roman" w:eastAsia="Times New Roman" w:hAnsi="Times New Roman"/>
          <w:sz w:val="22"/>
          <w:szCs w:val="22"/>
          <w:color w:val="auto"/>
        </w:rPr>
        <w:t>shall have the meanings ascribed to them in the Company’s 2019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 Date:</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Exercise 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-151765</wp:posOffset>
            </wp:positionV>
            <wp:extent cx="13627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220"/>
        <w:spacing w:after="0" w:line="230" w:lineRule="auto"/>
        <w:rPr>
          <w:sz w:val="20"/>
          <w:szCs w:val="20"/>
          <w:color w:val="auto"/>
        </w:rPr>
      </w:pPr>
      <w:r>
        <w:rPr>
          <w:rFonts w:ascii="Times New Roman" w:cs="Times New Roman" w:eastAsia="Times New Roman" w:hAnsi="Times New Roman"/>
          <w:sz w:val="22"/>
          <w:szCs w:val="22"/>
          <w:color w:val="auto"/>
        </w:rPr>
        <w:t>Share:</w:t>
      </w:r>
    </w:p>
    <w:p>
      <w:pPr>
        <w:ind w:left="220"/>
        <w:spacing w:after="0" w:line="231" w:lineRule="auto"/>
        <w:rPr>
          <w:sz w:val="20"/>
          <w:szCs w:val="20"/>
          <w:color w:val="auto"/>
        </w:rPr>
      </w:pPr>
      <w:r>
        <w:rPr>
          <w:rFonts w:ascii="Times New Roman" w:cs="Times New Roman" w:eastAsia="Times New Roman" w:hAnsi="Times New Roman"/>
          <w:sz w:val="22"/>
          <w:szCs w:val="22"/>
          <w:color w:val="auto"/>
        </w:rPr>
        <w:t>Number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-151130</wp:posOffset>
            </wp:positionV>
            <wp:extent cx="1362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220"/>
        <w:spacing w:after="0" w:line="230" w:lineRule="auto"/>
        <w:rPr>
          <w:sz w:val="20"/>
          <w:szCs w:val="20"/>
          <w:color w:val="auto"/>
        </w:rPr>
      </w:pPr>
      <w:r>
        <w:rPr>
          <w:rFonts w:ascii="Times New Roman" w:cs="Times New Roman" w:eastAsia="Times New Roman" w:hAnsi="Times New Roman"/>
          <w:sz w:val="22"/>
          <w:szCs w:val="22"/>
          <w:color w:val="auto"/>
        </w:rPr>
        <w:t>Shares: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-3810</wp:posOffset>
            </wp:positionV>
            <wp:extent cx="13627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-158115</wp:posOffset>
            </wp:positionV>
            <wp:extent cx="13627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3" w:lineRule="exact"/>
        <w:rPr>
          <w:sz w:val="20"/>
          <w:szCs w:val="20"/>
          <w:color w:val="auto"/>
        </w:rPr>
      </w:pPr>
    </w:p>
    <w:p>
      <w:pPr>
        <w:ind w:left="860" w:hanging="651"/>
        <w:spacing w:after="0"/>
        <w:tabs>
          <w:tab w:leader="none" w:pos="8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Grant; Type of Option</w:t>
      </w:r>
      <w:r>
        <w:rPr>
          <w:rFonts w:ascii="Times New Roman" w:cs="Times New Roman" w:eastAsia="Times New Roman" w:hAnsi="Times New Roman"/>
          <w:sz w:val="22"/>
          <w:szCs w:val="22"/>
          <w:color w:val="auto"/>
        </w:rPr>
        <w:t>. The Company hereby grants to the Participant an incentive stock option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to purchase up to the total number of Option Shares set forth above, at the Exercise Price per Share set forth above. The Option is being granted pursuant to the terms of the Plan. The Option is intended to be an Incentive Stock Option within the meaning of Section 422 of the Code to the maximum extent permitted by applicable law. If Participant ceases to be an Employee of the Company or an Affiliate, but continues to provide Service, this Option will be treated as a Non-Qualified Stock Option on the day after the date that is three (3) months after Participant ceases to be an Employee (i) even if Participant continues to provide Service after his/her employment has terminated or (ii) if termination of employment was for any reason other than due to Participant’s death or Disability. In addition, to the extent that all or part of this Option exceeds the $100,000 limitation rule of section 422(d) of the Code, this Option or the lesser excess part will be treated as a Non-Qualified Stock Option.</w:t>
      </w:r>
    </w:p>
    <w:p>
      <w:pPr>
        <w:spacing w:after="0" w:line="18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Consideration; Subject to Plan</w:t>
      </w:r>
      <w:r>
        <w:rPr>
          <w:rFonts w:ascii="Times New Roman" w:cs="Times New Roman" w:eastAsia="Times New Roman" w:hAnsi="Times New Roman"/>
          <w:sz w:val="22"/>
          <w:szCs w:val="22"/>
          <w:color w:val="auto"/>
        </w:rPr>
        <w:t>. The grant of the Option is made in consideration of the Services to be rendered by the Participant to the Company and is subject to the terms and conditions of the Plan.</w:t>
      </w:r>
    </w:p>
    <w:p>
      <w:pPr>
        <w:spacing w:after="0" w:line="173" w:lineRule="exact"/>
        <w:rPr>
          <w:sz w:val="20"/>
          <w:szCs w:val="20"/>
          <w:color w:val="auto"/>
        </w:rPr>
      </w:pPr>
    </w:p>
    <w:p>
      <w:pPr>
        <w:ind w:left="860" w:hanging="651"/>
        <w:spacing w:after="0"/>
        <w:tabs>
          <w:tab w:leader="none" w:pos="86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Subject to the Participant’s continuous Service, the Option shall become vested and exercisable with respect to one-twelfth (1/12) of the Option Shares on the last day of each calendar quarter commencing with the calendar quarter following the calendar quarter of the Grant Date (provided however that the last such quarterly vesting installment shall instead occur on the third anniversary of the Grant Date). The unvested portion of the Option shall never be exercisable including for avoidance of doubt on or after the Participant’s termination of Service.</w:t>
      </w:r>
    </w:p>
    <w:p>
      <w:pPr>
        <w:spacing w:after="0" w:line="17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The Option shall expire on the Expiration Date set forth above, or earlier as provided in this Agreement or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615315</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55" w:name="page156"/>
    <w:bookmarkEnd w:id="155"/>
    <w:p>
      <w:pPr>
        <w:jc w:val="both"/>
        <w:ind w:left="200" w:right="219" w:firstLine="9"/>
        <w:spacing w:after="0" w:line="235" w:lineRule="auto"/>
        <w:tabs>
          <w:tab w:leader="none" w:pos="84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For purposes of this Agreement, “Service” means Participant’s service as an Employee, Consultant, or non-employee director of the Company or Company Affiliate. Service will be deemed terminated as soon as the entity to which Service is being provided is no longer either (i) the Company or (ii) an Affiliate. The Administrator determines when Service commences and when Service terminates. The Administrator may determine whether any Company transaction, such as a sale or spin-off of a division or subsidiary that employs a Participant, shall be deemed to result in termination of Service for purposes of this Agreement and the Administrator’s decision shall be final, conclusive and binding.</w:t>
      </w:r>
    </w:p>
    <w:p>
      <w:pPr>
        <w:spacing w:after="0" w:line="17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Termination for Reasons Other Than Cause, Death, Disability</w:t>
      </w:r>
      <w:r>
        <w:rPr>
          <w:rFonts w:ascii="Times New Roman" w:cs="Times New Roman" w:eastAsia="Times New Roman" w:hAnsi="Times New Roman"/>
          <w:sz w:val="22"/>
          <w:szCs w:val="22"/>
          <w:color w:val="auto"/>
        </w:rPr>
        <w:t>. If the Participant’s Service is terminated for any reason other than Cause, death, or Disability, the Participant may exercise the vested portion of the Option, but only within such period of time ending on the earlier of (a) the date three (3) months following the termination of the Participant’s Service or (b) the Expiration Date or (c) the date that this Option is not assumed or continued after a Corporate Transaction.</w:t>
      </w:r>
    </w:p>
    <w:p>
      <w:pPr>
        <w:spacing w:after="0" w:line="18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Participant’s Service is terminated for Cause, the Option (both vested and unvested portions) shall immediately terminate without consideration and cease to be exercisable. The provisions of Plan Paragraph 15 will apply to this Agreement.</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Participant’s Service terminates as a result of Participant’s Disability, then the provisions of Plan Paragraph 16 will apply to this Agreement and the Participant may exercise the vested portion of the Option, but only within such period of time ending on the earlier of (a) the date twelve (12) months following the Participant’s termination of Service or (b) the Expiration Date or (c) the date that this Option is not assumed or continued after a Corporate Transaction.</w:t>
      </w:r>
    </w:p>
    <w:p>
      <w:pPr>
        <w:spacing w:after="0" w:line="18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 If Participant’s Service terminates as a result of Participant’s death, then the provisions of Plan Paragraph 17 will apply to this Agreement and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twelve (12) months following the Participant’s termination of Service or (b) the Expiration Date or (c) the date that this Option is not assumed or continued after a Corporate Transaction.</w:t>
      </w:r>
    </w:p>
    <w:p>
      <w:pPr>
        <w:spacing w:after="0" w:line="17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Extension of Termination Date</w:t>
      </w:r>
      <w:r>
        <w:rPr>
          <w:rFonts w:ascii="Times New Roman" w:cs="Times New Roman" w:eastAsia="Times New Roman" w:hAnsi="Times New Roman"/>
          <w:sz w:val="22"/>
          <w:szCs w:val="22"/>
          <w:color w:val="auto"/>
        </w:rPr>
        <w:t>. If, following the Participant’s termination of Service for any reason (other than for Cause) the exercise of the vested portion of this Option is prohibited because the exercise of the Option would violate the registration requirements under the Securities Act or any other state or federal securities law or the rules of any securities exchange or interdealer quotation system, then the expiration of the Option shall be tolled until the date that is thirty (30) days after the end of the period during which the exercise of the Option would be in violation of such registration or other securities requirements but in no event tolled later than the earlier of the Expiration Date or the date that this Option is not assumed or continued after a Corporate Transaction.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6" w:name="page157"/>
    <w:bookmarkEnd w:id="156"/>
    <w:p>
      <w:pPr>
        <w:jc w:val="both"/>
        <w:ind w:left="200" w:right="219" w:firstLine="9"/>
        <w:spacing w:after="0" w:line="245" w:lineRule="auto"/>
        <w:tabs>
          <w:tab w:leader="none" w:pos="848"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Leaves of Absence</w:t>
      </w:r>
      <w:r>
        <w:rPr>
          <w:rFonts w:ascii="Times New Roman" w:cs="Times New Roman" w:eastAsia="Times New Roman" w:hAnsi="Times New Roman"/>
          <w:sz w:val="21"/>
          <w:szCs w:val="21"/>
          <w:color w:val="auto"/>
        </w:rPr>
        <w:t>. For purposes of the Option, the Participant’s Service does not terminate when he or she goes on a bona fide leave of absence that was approved by the Company in writing, if the terms of the leave of absence provide for Service crediting, or when Service crediting is required by applicable law. The Participant’s Service terminates in any event when the approved leave of absence ends unless the Participant immediately returns to active work. The Administrator determines which leaves of absence count for this purpose (along with determining the effect of a leave of absence on vesting of the Option), and when the Participant’s Service terminates for all purposes under the Plan. For income tax purposes, if the period of leave exceeds three (3) months and Participant’s right to reemployment is not provided either by statute or by contract, then this Option will be treated as a Non-Qualified Stock Option if the exercise of this Option occurs after the expiration of six (6) months from the commencement of such leave of absence.</w:t>
      </w:r>
    </w:p>
    <w:p>
      <w:pPr>
        <w:spacing w:after="0" w:line="177" w:lineRule="exact"/>
        <w:rPr>
          <w:rFonts w:ascii="Times New Roman" w:cs="Times New Roman" w:eastAsia="Times New Roman" w:hAnsi="Times New Roman"/>
          <w:sz w:val="21"/>
          <w:szCs w:val="21"/>
          <w:color w:val="auto"/>
        </w:rPr>
      </w:pPr>
    </w:p>
    <w:p>
      <w:pPr>
        <w:ind w:left="860" w:hanging="651"/>
        <w:spacing w:after="0"/>
        <w:tabs>
          <w:tab w:leader="none" w:pos="86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Election to Exercise</w:t>
      </w:r>
      <w:r>
        <w:rPr>
          <w:rFonts w:ascii="Times New Roman" w:cs="Times New Roman" w:eastAsia="Times New Roman" w:hAnsi="Times New Roman"/>
          <w:sz w:val="22"/>
          <w:szCs w:val="22"/>
          <w:color w:val="auto"/>
        </w:rPr>
        <w:t>. To exercise the Option, the Participant (or in the case of exercise after the Participant’s death or incapacity, the Participant’s executor, administrator, heir, or legatee, as the case may be) must deliver to the Company a notice of intent to exercise in the manner designated by the Administrator.</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If someone other than the Participant exercises the Option, then such person must submit documentation reasonably acceptable to the Company verifying that such person has the legal right to exercise the Option.</w:t>
      </w:r>
    </w:p>
    <w:p>
      <w:pPr>
        <w:spacing w:after="0" w:line="17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Payment of Exercise Price</w:t>
      </w:r>
      <w:r>
        <w:rPr>
          <w:rFonts w:ascii="Times New Roman" w:cs="Times New Roman" w:eastAsia="Times New Roman" w:hAnsi="Times New Roman"/>
          <w:sz w:val="22"/>
          <w:szCs w:val="22"/>
          <w:color w:val="auto"/>
        </w:rPr>
        <w:t>. The entire Exercise Price of the Option Shares being acquired shall be payable in full at the time of exercise to the extent permitted by applicable statutes and regulations, either:</w:t>
      </w:r>
    </w:p>
    <w:p>
      <w:pPr>
        <w:spacing w:after="0" w:line="173" w:lineRule="exact"/>
        <w:rPr>
          <w:sz w:val="20"/>
          <w:szCs w:val="20"/>
          <w:color w:val="auto"/>
        </w:rPr>
      </w:pPr>
    </w:p>
    <w:p>
      <w:pPr>
        <w:ind w:left="2160" w:hanging="655"/>
        <w:spacing w:after="0"/>
        <w:tabs>
          <w:tab w:leader="none" w:pos="216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or by certified or bank check at the time the Option is exercised; or</w:t>
      </w:r>
    </w:p>
    <w:p>
      <w:pPr>
        <w:spacing w:after="0" w:line="206"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discretion of the Administrator, upon such terms as the Administrator shall approve including the below:</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35" w:lineRule="auto"/>
        <w:tabs>
          <w:tab w:leader="none" w:pos="2796"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delivery to the Company of other Shares, duly endorsed for transfer to the Company, with an aggregate Fair Market Value on the date of delivery equal to the aggregate Exercise Price (or portion thereof) due for the number of Shares being acquired, or by means of attestation, whereby the Participant identifies for delivery specific Shares that have a Fair Market Value on the date of attestation equal to the aggregate Exercise Price (or portion thereof) and receives a number of Shares equal to the difference between the number of Shares thereby purchased and the number of identified attestation Shares;</w:t>
      </w:r>
    </w:p>
    <w:p>
      <w:pPr>
        <w:spacing w:after="0" w:line="17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a “cashless exercise program” established with a broker;</w:t>
      </w:r>
    </w:p>
    <w:p>
      <w:pPr>
        <w:spacing w:after="0" w:line="206" w:lineRule="exact"/>
        <w:rPr>
          <w:rFonts w:ascii="Times New Roman" w:cs="Times New Roman" w:eastAsia="Times New Roman" w:hAnsi="Times New Roman"/>
          <w:sz w:val="22"/>
          <w:szCs w:val="22"/>
          <w:color w:val="auto"/>
        </w:rPr>
      </w:pPr>
    </w:p>
    <w:p>
      <w:pPr>
        <w:jc w:val="both"/>
        <w:ind w:left="1500" w:right="219" w:firstLine="653"/>
        <w:spacing w:after="0" w:line="244" w:lineRule="auto"/>
        <w:tabs>
          <w:tab w:leader="none" w:pos="2796"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reduction in the number of Shares otherwise deliverable upon exercise of this Option with a Fair Market Value equal to the aggregate Exercise Price at the time of exercise;</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combination of the foregoing methods; or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7" w:name="page158"/>
    <w:bookmarkEnd w:id="157"/>
    <w:p>
      <w:pPr>
        <w:ind w:left="2800" w:hanging="647"/>
        <w:spacing w:after="0"/>
        <w:tabs>
          <w:tab w:leader="none" w:pos="280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other form of legal consideration that may be acceptable to the</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Prior to the issuance of Shares upon the exercise of the Option, the Participant must make arrangements satisfactory to the Company to pay or provide for any applicable federal, state, and local withholding obligations of the Company. The Participant may satisfy any federal, state, or local tax withholding obligation relating to the exercise of the Option by any of the following means:</w:t>
      </w:r>
    </w:p>
    <w:p>
      <w:pPr>
        <w:spacing w:after="0" w:line="177" w:lineRule="exact"/>
        <w:rPr>
          <w:sz w:val="20"/>
          <w:szCs w:val="20"/>
          <w:color w:val="auto"/>
        </w:rPr>
      </w:pPr>
    </w:p>
    <w:p>
      <w:pPr>
        <w:ind w:left="2160" w:hanging="655"/>
        <w:spacing w:after="0"/>
        <w:tabs>
          <w:tab w:leader="none" w:pos="21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tendering a cash payment;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discretion of the Administrator, authorizing the Company to withhold Shares from the Shares otherwise issuable to the Participant as a result of the exercise of the Option; provided, however, that no Shares are withheld with a value exceeding the statutory maximum amount of tax required to be withheld by law; or</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discretion of the Administrator, delivering to the Company previously owned and unencumbered Shares.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Company also has the right to withhold from any compensation paid to a Participant.</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Provided that the completed and signed exercise notice and payment are in form and substance satisfactory to the Company, the Company shall issue the Shares registered in the name of the Participant, the Participant’s authorized assignee, or the Participant’s legal representative, and shall deliver certificates representing the Shares with the appropriate legends affixed thereto.</w:t>
      </w:r>
    </w:p>
    <w:p>
      <w:pPr>
        <w:spacing w:after="0" w:line="177" w:lineRule="exact"/>
        <w:rPr>
          <w:sz w:val="20"/>
          <w:szCs w:val="20"/>
          <w:color w:val="auto"/>
        </w:rPr>
      </w:pPr>
    </w:p>
    <w:p>
      <w:pPr>
        <w:jc w:val="both"/>
        <w:ind w:left="200" w:right="219" w:firstLine="9"/>
        <w:spacing w:after="0" w:line="236" w:lineRule="auto"/>
        <w:tabs>
          <w:tab w:leader="none" w:pos="84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The Participant, or his or her estate, shall have no rights as a stockholder of the Company with regard to the Option until the Participant has been issued the applicable Option Shares by the Company and has satisfied all other conditions specified in the Plan. No adjustment shall be made for cash or stock dividends or other rights for which the record date is prior to the date when such applicable Option Shares are issued, except as may be provided in the Plan.</w:t>
      </w:r>
    </w:p>
    <w:p>
      <w:pPr>
        <w:spacing w:after="0" w:line="181" w:lineRule="exact"/>
        <w:rPr>
          <w:rFonts w:ascii="Times New Roman" w:cs="Times New Roman" w:eastAsia="Times New Roman" w:hAnsi="Times New Roman"/>
          <w:sz w:val="22"/>
          <w:szCs w:val="22"/>
          <w:color w:val="auto"/>
        </w:rPr>
      </w:pPr>
    </w:p>
    <w:p>
      <w:pPr>
        <w:jc w:val="both"/>
        <w:ind w:left="200" w:right="219" w:firstLine="9"/>
        <w:spacing w:after="0" w:line="235" w:lineRule="auto"/>
        <w:tabs>
          <w:tab w:leader="none" w:pos="84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Option</w:t>
      </w:r>
      <w:r>
        <w:rPr>
          <w:rFonts w:ascii="Times New Roman" w:cs="Times New Roman" w:eastAsia="Times New Roman" w:hAnsi="Times New Roman"/>
          <w:sz w:val="22"/>
          <w:szCs w:val="22"/>
          <w:color w:val="auto"/>
        </w:rPr>
        <w:t>. Prior to the Participant’s death, only the Participant may exercise the Option. The Participant cannot gift, transfer, assign, alienate, pledge, hypothecate, attach, sell, or encumber the Option. If the Participant attempts to do any of these things, the Option will immediately become invalid. The Participant may, however, dispose of the Option by will or it may be transferred by the laws of descent and distribution. Regardless of any marital property settlement agreement, the Company is not obligated to honor a notice of exercise from the Participant’s spouse, nor is the Company obligated to recognize any spousal interest in the Option in any other way.</w:t>
      </w:r>
    </w:p>
    <w:p>
      <w:pPr>
        <w:spacing w:after="0" w:line="178" w:lineRule="exact"/>
        <w:rPr>
          <w:rFonts w:ascii="Times New Roman" w:cs="Times New Roman" w:eastAsia="Times New Roman" w:hAnsi="Times New Roman"/>
          <w:sz w:val="22"/>
          <w:szCs w:val="22"/>
          <w:color w:val="auto"/>
        </w:rPr>
      </w:pPr>
    </w:p>
    <w:p>
      <w:pPr>
        <w:jc w:val="both"/>
        <w:ind w:left="200" w:right="219" w:firstLine="9"/>
        <w:spacing w:after="0" w:line="251" w:lineRule="auto"/>
        <w:tabs>
          <w:tab w:leader="none" w:pos="848"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Exercise and Resale</w:t>
      </w:r>
      <w:r>
        <w:rPr>
          <w:rFonts w:ascii="Times New Roman" w:cs="Times New Roman" w:eastAsia="Times New Roman" w:hAnsi="Times New Roman"/>
          <w:sz w:val="21"/>
          <w:szCs w:val="21"/>
          <w:color w:val="auto"/>
        </w:rPr>
        <w:t>. By signing this Agreement, the Participant agrees not to (i) exercise this Option (“</w:t>
      </w:r>
      <w:r>
        <w:rPr>
          <w:rFonts w:ascii="Times New Roman" w:cs="Times New Roman" w:eastAsia="Times New Roman" w:hAnsi="Times New Roman"/>
          <w:sz w:val="21"/>
          <w:szCs w:val="21"/>
          <w:b w:val="1"/>
          <w:bCs w:val="1"/>
          <w:color w:val="auto"/>
        </w:rPr>
        <w:t>Exercise Prohibition</w:t>
      </w:r>
      <w:r>
        <w:rPr>
          <w:rFonts w:ascii="Times New Roman" w:cs="Times New Roman" w:eastAsia="Times New Roman" w:hAnsi="Times New Roman"/>
          <w:sz w:val="21"/>
          <w:szCs w:val="21"/>
          <w:color w:val="auto"/>
        </w:rPr>
        <w:t>”), or (ii) sell, transfer, dispose of, pledge, hypothecate, make any short sale of, or otherwise effect a similar transaction of any Shares acquired under this Option (each a “</w:t>
      </w:r>
      <w:r>
        <w:rPr>
          <w:rFonts w:ascii="Times New Roman" w:cs="Times New Roman" w:eastAsia="Times New Roman" w:hAnsi="Times New Roman"/>
          <w:sz w:val="21"/>
          <w:szCs w:val="21"/>
          <w:b w:val="1"/>
          <w:bCs w:val="1"/>
          <w:color w:val="auto"/>
        </w:rPr>
        <w:t>Sale Prohibition</w:t>
      </w:r>
      <w:r>
        <w:rPr>
          <w:rFonts w:ascii="Times New Roman" w:cs="Times New Roman" w:eastAsia="Times New Roman" w:hAnsi="Times New Roman"/>
          <w:sz w:val="21"/>
          <w:szCs w:val="21"/>
          <w:color w:val="auto"/>
        </w:rPr>
        <w:t>”) at a time when applicable laws, regulations or Company or underwriter trading policies prohibit the exercise or disposition of Shares. The</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8" w:name="page159"/>
    <w:bookmarkEnd w:id="158"/>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Company will not permit the Participant to exercise this Option if the issuance of Shares at that time would violate any law or regulation. The Company shall have the right to designate one or more periods of time, each of which generally will not exceed one hundred eighty (180) days in length (provided however, that such period may be extended in connection with the Company’s release (or announcement of release) of earnings results or other material news or events), and to impose an Exercise Prohibition and/or Sale Prohibition, if the Company determines (in its sole discretion) that such limitation(s) is needed in connection with a public offering of Shares or to comply with an underwriter’s request or trading policy, or could in any way facilitate a lessening of any restriction on transfer pursuant to the Securities Act or any state securities laws with respect to any issuance of securities by the Company, facilitate the registration or qualification of any securities by the Company under the Securities Act or any state securities laws, or facilitate the perfection of any exemption from the registration or qualification requirements of the Securities Act or any applicable state securities laws for the issuance or transfer of any securities. The Company may issue stop/transfer instructions and/or appropriately legend any stock certificates issued pursuant to the Option in order to ensure compliance with the foregoing. Any such Exercise Prohibition shall not alter the Vesting Schedule set forth in this Agreement other than to limit the periods during which the Option shall be exercisable.</w:t>
      </w:r>
    </w:p>
    <w:p>
      <w:pPr>
        <w:spacing w:after="0" w:line="190"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If the sale of Option Shares acquired under this Agreement is not registered under the Securities Act, but an exemption is available which requires an investment representation or other representation and warranty, the Participant shall represent and agree that the Shares being acquired are being acquired for investment, and not with a view to the sale or distribution thereof, and shall make such other representations and warranties as are deemed necessary or appropriate by the Company and its counsel.</w:t>
      </w:r>
    </w:p>
    <w:p>
      <w:pPr>
        <w:spacing w:after="0" w:line="18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Participant may also be required, as a condition of exercise of the Option, to enter into any Company stockholder agreement or other agreements that are applicable to stockholders.</w:t>
      </w:r>
    </w:p>
    <w:p>
      <w:pPr>
        <w:spacing w:after="0" w:line="15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If Participant sells or otherwise disposes of any of the Option Shares acquired pursuant to the exercise of this Option on or before the later of (i) the date that is two years after the Grant Date or (ii) the date that is one year after the applicable exercise of this Option, then Participant shall within ten days of any and all such sales or dispositions provide the Company with written notice of such transactions including without limitation the date of each disposition, the number of Option Shares that Participant disposed of in each transaction and their original Grant Date, and the amount of proceeds Participant received from each disposition.</w:t>
      </w:r>
    </w:p>
    <w:p>
      <w:pPr>
        <w:spacing w:after="0" w:line="183" w:lineRule="exact"/>
        <w:rPr>
          <w:sz w:val="20"/>
          <w:szCs w:val="20"/>
          <w:color w:val="auto"/>
        </w:rPr>
      </w:pPr>
    </w:p>
    <w:p>
      <w:pPr>
        <w:jc w:val="both"/>
        <w:ind w:left="200" w:right="219" w:firstLine="9"/>
        <w:spacing w:after="0" w:line="244" w:lineRule="auto"/>
        <w:tabs>
          <w:tab w:leader="none" w:pos="84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Participant expressly acknowledges and agrees to be bound by Paragraph 35 of the Plan, which contains provisions addressing the Company’s policy on recoupment of equity or other compensation.</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Retention Rights</w:t>
      </w:r>
      <w:r>
        <w:rPr>
          <w:rFonts w:ascii="Times New Roman" w:cs="Times New Roman" w:eastAsia="Times New Roman" w:hAnsi="Times New Roman"/>
          <w:sz w:val="22"/>
          <w:szCs w:val="22"/>
          <w:color w:val="auto"/>
        </w:rPr>
        <w:t>. The Participant’s Option or this Agreement does not give the Participant the right to be retained by the Company (or any Affiliate) in any capacity. The Company (and its Affiliates) reserves the right to terminate the Participant’s Service at any time and for any reason.</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82" w:lineRule="auto"/>
        <w:tabs>
          <w:tab w:leader="none" w:pos="848"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 Corporate Transaction, the provisions of Plan Paragraph 25(b) shall apply as is to this Option. In addition, the provisions of Plan Paragraphs 25(a) and 25(c)</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9" w:name="page160"/>
    <w:bookmarkEnd w:id="159"/>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shall also apply as is to this Option. The Option shall be subject to the terms of the agreement of merger, liquidation or reorganization in the event the Company is subject to such corporate activity.</w:t>
      </w:r>
    </w:p>
    <w:p>
      <w:pPr>
        <w:spacing w:after="0" w:line="173" w:lineRule="exact"/>
        <w:rPr>
          <w:sz w:val="20"/>
          <w:szCs w:val="20"/>
          <w:color w:val="auto"/>
        </w:rPr>
      </w:pPr>
    </w:p>
    <w:p>
      <w:pPr>
        <w:jc w:val="both"/>
        <w:ind w:left="200" w:right="219" w:firstLine="9"/>
        <w:spacing w:after="0" w:line="244" w:lineRule="auto"/>
        <w:tabs>
          <w:tab w:leader="none" w:pos="8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All certificates or book entries representing the Shares issued under this Option may, where applicable, have endorsed thereon any notation or legend the Company determines appropriate.</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and Withholding</w:t>
      </w:r>
      <w:r>
        <w:rPr>
          <w:rFonts w:ascii="Times New Roman" w:cs="Times New Roman" w:eastAsia="Times New Roman" w:hAnsi="Times New Roman"/>
          <w:sz w:val="22"/>
          <w:szCs w:val="22"/>
          <w:color w:val="auto"/>
        </w:rPr>
        <w:t>. The Participant will be solely responsible for payment of any and all applicable taxes, including without limitation any penalties or interest based upon such tax obligations, associated with this Option. The Participant will not be allowed to exercise this Option unless acceptable arrangements are made to pay any withholding or other taxes that may be due as a result of the Option exercise or sale of Shares acquired under this Option.</w:t>
      </w:r>
    </w:p>
    <w:p>
      <w:pPr>
        <w:spacing w:after="0" w:line="176" w:lineRule="exact"/>
        <w:rPr>
          <w:rFonts w:ascii="Times New Roman" w:cs="Times New Roman" w:eastAsia="Times New Roman" w:hAnsi="Times New Roman"/>
          <w:sz w:val="22"/>
          <w:szCs w:val="22"/>
          <w:color w:val="auto"/>
        </w:rPr>
      </w:pPr>
    </w:p>
    <w:p>
      <w:pPr>
        <w:ind w:left="200" w:right="219" w:firstLine="9"/>
        <w:spacing w:after="0" w:line="258" w:lineRule="auto"/>
        <w:tabs>
          <w:tab w:leader="none" w:pos="8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This Option will be administered and interpreted to be exempt from (or comply with) Code Section 409A.</w:t>
      </w:r>
    </w:p>
    <w:p>
      <w:pPr>
        <w:spacing w:after="0" w:line="158"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Compliance with Law</w:t>
      </w:r>
      <w:r>
        <w:rPr>
          <w:rFonts w:ascii="Times New Roman" w:cs="Times New Roman" w:eastAsia="Times New Roman" w:hAnsi="Times New Roman"/>
          <w:sz w:val="22"/>
          <w:szCs w:val="22"/>
          <w:color w:val="auto"/>
        </w:rPr>
        <w:t>. The Company (and any Affiliate) is not responsible for the Participant’s legal compliance requirements relating to this Option, including, but not limited to, tax reporting.</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Compliance</w:t>
      </w:r>
      <w:r>
        <w:rPr>
          <w:rFonts w:ascii="Times New Roman" w:cs="Times New Roman" w:eastAsia="Times New Roman" w:hAnsi="Times New Roman"/>
          <w:sz w:val="22"/>
          <w:szCs w:val="22"/>
          <w:color w:val="auto"/>
        </w:rPr>
        <w:t>. The issuance of Common Stock pursuant to this Agreement shall be subject to full compliance with all applicable requirements of law and the requirements of any stock exchange or interdealer quotation system upon which the Common Stock may be listed or traded.</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32" w:lineRule="auto"/>
        <w:tabs>
          <w:tab w:leader="none" w:pos="8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Participant hereby explicitly and unambiguously consents to the collection, use and transfer, in electronic or other form, of his or her personal data as described in this document by the Company for the exclusive purpose of implementing, administering and managing his or her participation in the Plan. The Participant understands that the Company holds certain personal information about him or her, including, but not limited to, name, home address and telephone number, date of birth, gender, social security or insurance number or other identification number, salary, nationality, job title, any shares of stock or directorships held in the Company, details of all awards or any other entitlement to Shares awarded, cancelled, purchased, exercised, vested, unvested or outstanding in the Participant’s favor for the purpose of implementing, managing and administering the Plan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The Participant understands that the Data may be transferred to any third parties assisting in the implementation, administration and management of the Plan, that these recipients may be located in his or her country or elsewhere and that the recipient country may have different data privacy laws and protections than his or her country. The Participant authorizes the recipients to receive, possess, use, retain and transfer the Data, in electronic or other form, for the purposes of implementing, administering and managing his or her participation in the Plan, including any requisite transfer of such Data, as may be required to a broker or other third party with whom the Participant may elect to deposit any Shares acquired under the Plan.</w:t>
      </w:r>
    </w:p>
    <w:p>
      <w:pPr>
        <w:spacing w:after="0" w:line="188" w:lineRule="exact"/>
        <w:rPr>
          <w:rFonts w:ascii="Times New Roman" w:cs="Times New Roman" w:eastAsia="Times New Roman" w:hAnsi="Times New Roman"/>
          <w:sz w:val="22"/>
          <w:szCs w:val="22"/>
          <w:color w:val="auto"/>
        </w:rPr>
      </w:pPr>
    </w:p>
    <w:p>
      <w:pPr>
        <w:ind w:left="200" w:right="219" w:firstLine="9"/>
        <w:spacing w:after="0" w:line="258" w:lineRule="auto"/>
        <w:tabs>
          <w:tab w:leader="none" w:pos="8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to be given or delivered to the Company relating to this Agreement shall be in writing and addressed to the Company at its principal corporate offices. All notices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0" w:name="page161"/>
    <w:bookmarkEnd w:id="160"/>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shall be deemed effective upon personal delivery or upon deposit in the postal mail, postage prepaid and properly addressed to the Company. Any notice to be given or delivered to the Participant relating to this Agreement may be delivered by electronic form including without limitation by email (including prospectuses required by the Securities and Exchange Commission) as well as all other documents that the Company is required to deliver to its security holders (including annual reports and proxy statements). The Company may also deliver these documents by posting them on a web site maintained by the Company or by a third party under contract with the Company.</w:t>
      </w:r>
    </w:p>
    <w:p>
      <w:pPr>
        <w:spacing w:after="0" w:line="178" w:lineRule="exact"/>
        <w:rPr>
          <w:sz w:val="20"/>
          <w:szCs w:val="20"/>
          <w:color w:val="auto"/>
        </w:rPr>
      </w:pPr>
    </w:p>
    <w:p>
      <w:pPr>
        <w:jc w:val="both"/>
        <w:ind w:left="200" w:right="219" w:firstLine="9"/>
        <w:spacing w:after="0" w:line="238" w:lineRule="auto"/>
        <w:tabs>
          <w:tab w:leader="none" w:pos="84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color w:val="auto"/>
        </w:rPr>
        <w:t>. The Participant agrees to receive stockholder information, including copies of any annual report, proxy statement and periodic report, from the Company’s website, if the Company wishes to provide such information through its website. The Participant acknowledges that copies of the Plan, Plan prospectus, Plan information and stockholder information are also available upon written or telephonic request to the Administrator.</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Assistance</w:t>
      </w:r>
      <w:r>
        <w:rPr>
          <w:rFonts w:ascii="Times New Roman" w:cs="Times New Roman" w:eastAsia="Times New Roman" w:hAnsi="Times New Roman"/>
          <w:sz w:val="22"/>
          <w:szCs w:val="22"/>
          <w:color w:val="auto"/>
        </w:rPr>
        <w:t>. The Participant agrees to provide assistance (either before or after termination of Service) reasonably requested by the Company in connection with actions taken by the Participant while providing Services to the Company, including but not limited to assistance in connection with any lawsuits or other claims against the Company arising from events during the period in which the Participant rendered Service.</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w:t>
      </w:r>
      <w:r>
        <w:rPr>
          <w:rFonts w:ascii="Times New Roman" w:cs="Times New Roman" w:eastAsia="Times New Roman" w:hAnsi="Times New Roman"/>
          <w:sz w:val="22"/>
          <w:szCs w:val="22"/>
          <w:color w:val="auto"/>
        </w:rPr>
        <w:t>. If the Company shall determine, in its sole discretion, that the consent or approval of any governmental authority is necessary or desirable as a condition to the payment of benefits to the Participant pursuant to the Plan, such payment shall not occur until such registration, qualification, consent or approval shall have been effected or obtained free of any conditions not acceptable to the Company.</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5" w:lineRule="auto"/>
        <w:tabs>
          <w:tab w:leader="none" w:pos="84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The Company will be entitled to enforce its rights under this Agreement specifically, to recover damages by reason of any breach of any provision of this Agreement and to exercise all other rights to which it may be entitled. The Participant agrees and acknowledges that money damages may not be an adequate remedy for breach of the provisions of this Agreement and that the Company may in its sole discretion apply to any court of law or equity of competent jurisdiction for specific performance and/or injunctive relief in order to enforce or prevent any violations of the provisions of this Agreement.</w:t>
      </w:r>
    </w:p>
    <w:p>
      <w:pPr>
        <w:spacing w:after="0" w:line="183" w:lineRule="exact"/>
        <w:rPr>
          <w:rFonts w:ascii="Times New Roman" w:cs="Times New Roman" w:eastAsia="Times New Roman" w:hAnsi="Times New Roman"/>
          <w:sz w:val="22"/>
          <w:szCs w:val="22"/>
          <w:color w:val="auto"/>
        </w:rPr>
      </w:pPr>
    </w:p>
    <w:p>
      <w:pPr>
        <w:jc w:val="both"/>
        <w:ind w:left="200" w:right="219" w:firstLine="9"/>
        <w:spacing w:after="0" w:line="245" w:lineRule="auto"/>
        <w:tabs>
          <w:tab w:leader="none" w:pos="84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 of Confidential Information</w:t>
      </w:r>
      <w:r>
        <w:rPr>
          <w:rFonts w:ascii="Times New Roman" w:cs="Times New Roman" w:eastAsia="Times New Roman" w:hAnsi="Times New Roman"/>
          <w:sz w:val="21"/>
          <w:szCs w:val="21"/>
          <w:color w:val="auto"/>
        </w:rPr>
        <w:t>. The Participant acknowledges that the businesses of the Company are highly competitive and that the Company’s strategies, methods, books, records, and documents, technical information concerning their products, equipment, services, and processes, procurement procedures and pricing techniques, the names of and other information (such as credit and financial data) concerning former, present or prospective customers and business affiliates, all comprise confidential business information and trade secrets which are valuable, special, and unique assets which the Company uses in their business to obtain a competitive advantage over competitors. The Participant further acknowledges that protection of such confidential business information and trade secrets against unauthorized disclosure and use is of critical importance to the Company in maintaining its competitive position. The Participant acknowledges that by reason of the Participant’s duties to and association with the Company, the Participant has had and will have access to and have and will become informed of confidential</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1" w:name="page162"/>
    <w:bookmarkEnd w:id="161"/>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business information which is a competitive asset of the Company. The Participant hereby agrees that he or she will not, at any time during or after employment, make any unauthorized disclosure of any confidential business information or trade secrets of the Company, or make any use thereof, except in the carrying out of services responsibilities. The Participant shall take all necessary and appropriate steps to safeguard confidential business information and protect it against disclosure, misappropriation, misuse, loss and theft. Confidential business information shall not include information in the public domain (but only if the same becomes part of the public domain through a means other than a disclosure prohibited hereunder). The above notwithstanding, a disclosure shall not be unauthorized if (i) it is required by law or by a court of competent jurisdiction or (ii) it is in connection with any judicial, arbitration, dispute resolution or other legal proceeding in which the Participant’s legal rights and obligations as a Service provider or under this Agreement are at issue; provided, however, that the Participant shall, to the extent practicable and lawful in any such events, give prior notice to the Company of his or her intent to disclose any such confidential business information in such context so as to allow the Company an opportunity (which the Participant will not oppose) to obtain such protective orders or similar relief with respect thereto as may be deemed appropriate. In the event of any conflict in terms between this Section 23 and the terms of any Company confidentiality or proprietary information agreement the Participant has executed, the terms of such other confidentiality or proprietary information agreement shall prevail and govern.</w:t>
      </w:r>
    </w:p>
    <w:p>
      <w:pPr>
        <w:spacing w:after="0" w:line="187" w:lineRule="exact"/>
        <w:rPr>
          <w:sz w:val="20"/>
          <w:szCs w:val="20"/>
          <w:color w:val="auto"/>
        </w:rPr>
      </w:pPr>
    </w:p>
    <w:p>
      <w:pPr>
        <w:ind w:left="200" w:right="219" w:firstLine="9"/>
        <w:spacing w:after="0" w:line="258" w:lineRule="auto"/>
        <w:tabs>
          <w:tab w:leader="none" w:pos="84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will be interpreted and enforced under the laws of the State of Delaware without reference to the conflicts of law provisions thereof.</w:t>
      </w:r>
    </w:p>
    <w:p>
      <w:pPr>
        <w:spacing w:after="0" w:line="158"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 Company to the Administrator for review. The resolution of such dispute by the Administrator shall be final and binding on the Participant and the Company.</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55" w:lineRule="auto"/>
        <w:tabs>
          <w:tab w:leader="none" w:pos="848"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is Subject to Plan</w:t>
      </w:r>
      <w:r>
        <w:rPr>
          <w:rFonts w:ascii="Times New Roman" w:cs="Times New Roman" w:eastAsia="Times New Roman" w:hAnsi="Times New Roman"/>
          <w:sz w:val="21"/>
          <w:szCs w:val="21"/>
          <w:color w:val="auto"/>
        </w:rPr>
        <w:t>. This Option and this Agreement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shall govern and prevail.</w:t>
      </w:r>
    </w:p>
    <w:p>
      <w:pPr>
        <w:spacing w:after="0" w:line="161"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84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 No Third Party Beneficiaries</w:t>
      </w:r>
      <w:r>
        <w:rPr>
          <w:rFonts w:ascii="Times New Roman" w:cs="Times New Roman" w:eastAsia="Times New Roman" w:hAnsi="Times New Roman"/>
          <w:sz w:val="22"/>
          <w:szCs w:val="22"/>
          <w:color w:val="auto"/>
        </w:rPr>
        <w:t>. This Agreement shall be binding upon and inure to the benefit of the Company and the Participant and any respective heirs, representatives, successors and permitted assigns. This Agreement shall not confer any rights or remedies upon any person other than the Company and the Participant and any respective heirs, representatives, successors and permitted assigns. The parties agree that this Agreement shall survive the settlement or termination of the Option. The Company may assign any of its rights under this Agreement.</w:t>
      </w:r>
    </w:p>
    <w:p>
      <w:pPr>
        <w:spacing w:after="0" w:line="183"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0" w:lineRule="exact"/>
        <w:rPr>
          <w:rFonts w:ascii="Times New Roman" w:cs="Times New Roman" w:eastAsia="Times New Roman" w:hAnsi="Times New Roman"/>
          <w:sz w:val="22"/>
          <w:szCs w:val="22"/>
          <w:color w:val="auto"/>
        </w:rPr>
      </w:pPr>
    </w:p>
    <w:p>
      <w:pPr>
        <w:ind w:left="200" w:right="239" w:firstLine="9"/>
        <w:spacing w:after="0" w:line="258" w:lineRule="auto"/>
        <w:tabs>
          <w:tab w:leader="none" w:pos="84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Participant</w:t>
      </w:r>
      <w:r>
        <w:rPr>
          <w:rFonts w:ascii="Times New Roman" w:cs="Times New Roman" w:eastAsia="Times New Roman" w:hAnsi="Times New Roman"/>
          <w:sz w:val="22"/>
          <w:szCs w:val="22"/>
          <w:color w:val="auto"/>
        </w:rPr>
        <w:t>. The Participant acknowledges that he or she is voluntarily participating in the Plan.</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2" w:name="page163"/>
    <w:bookmarkEnd w:id="162"/>
    <w:p>
      <w:pPr>
        <w:jc w:val="both"/>
        <w:ind w:left="200" w:right="219" w:firstLine="9"/>
        <w:spacing w:after="0" w:line="246" w:lineRule="auto"/>
        <w:tabs>
          <w:tab w:leader="none" w:pos="848"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Future Awards</w:t>
      </w:r>
      <w:r>
        <w:rPr>
          <w:rFonts w:ascii="Times New Roman" w:cs="Times New Roman" w:eastAsia="Times New Roman" w:hAnsi="Times New Roman"/>
          <w:sz w:val="21"/>
          <w:szCs w:val="21"/>
          <w:color w:val="auto"/>
        </w:rPr>
        <w:t>. The Participant’s rights, if any, in respect of or in connection with the Option or any other awards are derived solely from the discretionary decision of the Company to permit the Participant to participate in the Plan and to benefit from a discretionary future award. By accepting this Option, the Participant expressly acknowledges that there is no obligation on the part of the Company to continue the Plan and/or grant any additional awards to the Participant or benefits in lieu of Options or any other awards even if awards have been granted repeatedly in the past. All decisions with respect to future awards, if any, will be at the sole discretion of the Administrator. Any amendment, modification, or termination of the Plan shall not constitute a change or impairment of the terms and conditions of the Participant’s Service.</w:t>
      </w:r>
    </w:p>
    <w:p>
      <w:pPr>
        <w:spacing w:after="0" w:line="175" w:lineRule="exact"/>
        <w:rPr>
          <w:rFonts w:ascii="Times New Roman" w:cs="Times New Roman" w:eastAsia="Times New Roman" w:hAnsi="Times New Roman"/>
          <w:sz w:val="21"/>
          <w:szCs w:val="21"/>
          <w:color w:val="auto"/>
        </w:rPr>
      </w:pPr>
    </w:p>
    <w:p>
      <w:pPr>
        <w:jc w:val="both"/>
        <w:ind w:left="200" w:right="219" w:firstLine="9"/>
        <w:spacing w:after="0" w:line="238" w:lineRule="auto"/>
        <w:tabs>
          <w:tab w:leader="none" w:pos="8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Damages</w:t>
      </w:r>
      <w:r>
        <w:rPr>
          <w:rFonts w:ascii="Times New Roman" w:cs="Times New Roman" w:eastAsia="Times New Roman" w:hAnsi="Times New Roman"/>
          <w:sz w:val="22"/>
          <w:szCs w:val="22"/>
          <w:color w:val="auto"/>
        </w:rPr>
        <w:t>. The Participant will have no right to bring a claim or to receive damages if any portion of the Option is cancelled or expires unexercised. The loss of existing or potential profit in the Option will not constitute an element of damages in the event of the termination of the Participant’s Service for any reason, even if the termination is in violation of an obligation of the Company or Affiliate to the Participant.</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Future Value</w:t>
      </w:r>
      <w:r>
        <w:rPr>
          <w:rFonts w:ascii="Times New Roman" w:cs="Times New Roman" w:eastAsia="Times New Roman" w:hAnsi="Times New Roman"/>
          <w:sz w:val="22"/>
          <w:szCs w:val="22"/>
          <w:color w:val="auto"/>
        </w:rPr>
        <w:t>. The future value of the underlying Shares is unknown and cannot be predicted with certainty. If the underlying Shares do not increase in value after the Date of Option Grant, the Option will have little or no value. If the Participant exercises the Option and obtains Shares, the value of the Shares acquired upon exercise may decrease in value, even below the Exercise Price.</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Option, prospectively or retroactively; provided, that, no such amendment or other action shall adversely affect the Participant’s material rights under this Agreement without the Participant’s consent.</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35" w:lineRule="auto"/>
        <w:tabs>
          <w:tab w:leader="none" w:pos="8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Compensation</w:t>
      </w:r>
      <w:r>
        <w:rPr>
          <w:rFonts w:ascii="Times New Roman" w:cs="Times New Roman" w:eastAsia="Times New Roman" w:hAnsi="Times New Roman"/>
          <w:sz w:val="22"/>
          <w:szCs w:val="22"/>
          <w:color w:val="auto"/>
        </w:rPr>
        <w:t>. The Option and the Shares subject to the Option are not intended to constitute or replace any pension rights or compensation and are not to be considered compensation of a continuing or recurring nature, or part of the Participant’s normal or expected compensation, and in no way represent any portion of the Participant’s salary, compensation or other remuneration for any purpose, including but not limited to, calculating any severance, resignation, termination, redundancy, dismissal, end of service payments, bonuses, long-service awards, pension or retirement benefits or similar payments.</w:t>
      </w:r>
    </w:p>
    <w:p>
      <w:pPr>
        <w:spacing w:after="0" w:line="183" w:lineRule="exact"/>
        <w:rPr>
          <w:rFonts w:ascii="Times New Roman" w:cs="Times New Roman" w:eastAsia="Times New Roman" w:hAnsi="Times New Roman"/>
          <w:sz w:val="22"/>
          <w:szCs w:val="22"/>
          <w:color w:val="auto"/>
        </w:rPr>
      </w:pPr>
    </w:p>
    <w:p>
      <w:pPr>
        <w:jc w:val="both"/>
        <w:ind w:left="200" w:right="219" w:firstLine="9"/>
        <w:spacing w:after="0" w:line="236" w:lineRule="auto"/>
        <w:tabs>
          <w:tab w:leader="none" w:pos="8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shall have the same effect as physical delivery of the paper document.</w:t>
      </w:r>
    </w:p>
    <w:p>
      <w:pPr>
        <w:spacing w:after="0" w:line="181"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The Company has not provided any tax, legal or financial advice, nor has the Company made any recommendations regarding the Participant’s participation in the Plan, or the Participant’s acquisition or sale of the underlying Shares. The Participant is hereby advised to consult with his or her own personal tax, legal and financial advisors regarding his or her participation in the Plan before taking any action related to the Plan.</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3" w:name="page164"/>
    <w:bookmarkEnd w:id="163"/>
    <w:p>
      <w:pPr>
        <w:jc w:val="both"/>
        <w:ind w:left="200" w:right="219" w:firstLine="9"/>
        <w:spacing w:after="0" w:line="236" w:lineRule="auto"/>
        <w:tabs>
          <w:tab w:leader="none" w:pos="84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the Plan prospectus and this Agreement. The Participant has read and understands the terms and provisions thereof, and accepts the Option subject to all of the terms and conditions of the Plan and this Agreement. The Participant acknowledges that there may be adverse tax consequences upon the grant, vesting or exercise of the Option or disposition of the underlying Shares and that the Participant should consult a tax advisor prior to such exercise or disposition.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ind w:left="8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Grant</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w:t>
      </w:r>
    </w:p>
    <w:p>
      <w:pPr>
        <w:spacing w:after="0" w:line="19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NEUROBO PHARMACEUTICALS, INC.</w:t>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By:</w:t>
      </w:r>
    </w:p>
    <w:p>
      <w:pPr>
        <w:ind w:left="4580"/>
        <w:spacing w:after="0" w:line="230" w:lineRule="auto"/>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-151130</wp:posOffset>
            </wp:positionV>
            <wp:extent cx="22885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ind w:left="45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-3810</wp:posOffset>
            </wp:positionV>
            <wp:extent cx="22885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-158115</wp:posOffset>
            </wp:positionV>
            <wp:extent cx="22885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8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By:</w:t>
      </w:r>
    </w:p>
    <w:p>
      <w:pPr>
        <w:ind w:left="45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-3810</wp:posOffset>
            </wp:positionV>
            <wp:extent cx="2288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-158115</wp:posOffset>
            </wp:positionV>
            <wp:extent cx="228854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NEUROBO PHARMACEUTICALS,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STOCK GRANT AGREEMENT</w:t>
      </w:r>
    </w:p>
    <w:p>
      <w:pPr>
        <w:spacing w:after="0" w:line="182"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The Company hereby awards a Stock Grant (the “Restricted Stock”) to the Participant named below. The terms and conditions of the Stock Grant are set forth in this cover sheet and the attached Stock Grant Agreement and in the Plan. This cover sheet is incorporated into and a part of the attached Stock Grant Agreement (together, the “Agreement”).</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 of Award: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Number of Shares of Restricted Stock Awarded (“Shares”):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Amount Paid by Participant for the Shares of Restricted Stock Awarded: $</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Fair Market Value of a Share on Date of Award: $</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Vesting Calculation Date:___________________, </w:t>
      </w:r>
      <w:r>
        <w:rPr>
          <w:rFonts w:ascii="Times New Roman" w:cs="Times New Roman" w:eastAsia="Times New Roman" w:hAnsi="Times New Roman"/>
          <w:sz w:val="22"/>
          <w:szCs w:val="22"/>
          <w:b w:val="1"/>
          <w:bCs w:val="1"/>
          <w:color w:val="auto"/>
        </w:rPr>
        <w:t>[YEAR]</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6"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As long as you render continuous Service to the Company (or its Parent, Subsidiary or Affiliate), you will become incrementally vested as to one-third of the total number of Shares of Restricted Stock awarded (rounded down to the nearest whole number), as shown above on the cover sheet, on each of the first three anniversaries of the Vesting Calculation Date. In the event that your Service ceases prior to the third anniversary of the Vesting Calculation Date, you will forfeit to the Company without consideration (except for any amount paid by you to the Company for the unvested Shares) all of the unvested Shares subject to this Award.</w:t>
      </w:r>
    </w:p>
    <w:p>
      <w:pPr>
        <w:spacing w:after="0" w:line="177" w:lineRule="exact"/>
        <w:rPr>
          <w:sz w:val="20"/>
          <w:szCs w:val="20"/>
          <w:color w:val="auto"/>
        </w:rPr>
      </w:pPr>
    </w:p>
    <w:p>
      <w:pPr>
        <w:jc w:val="both"/>
        <w:ind w:left="860" w:right="21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By signing this cover sheet, you agree to all terms and conditions described in the attached Stock Grant Agreement and in the Plan. You specifically acknowledge that you have carefully read the section entitled "Code Section 83(b) Election" and you further acknowledge that you are solely responsible for filing any Code Section 83(b) election, and that such election must be filed within thirty (30) days after the Date of Award in order to be effective. You are also acknowledging receipt of this Agreement and a copy of the Plan and Plan prospectus.</w:t>
      </w:r>
    </w:p>
    <w:p>
      <w:pPr>
        <w:spacing w:after="0" w:line="182"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22"/>
          <w:szCs w:val="22"/>
          <w:color w:val="auto"/>
        </w:rPr>
        <w:t>Company:</w:t>
      </w:r>
      <w:r>
        <w:rPr>
          <w:sz w:val="20"/>
          <w:szCs w:val="20"/>
          <w:color w:val="auto"/>
        </w:rPr>
        <w:tab/>
      </w:r>
      <w:r>
        <w:rPr>
          <w:rFonts w:ascii="Times New Roman" w:cs="Times New Roman" w:eastAsia="Times New Roman" w:hAnsi="Times New Roman"/>
          <w:sz w:val="22"/>
          <w:szCs w:val="22"/>
          <w:color w:val="auto"/>
        </w:rPr>
        <w:t>Participant:</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-3810</wp:posOffset>
            </wp:positionV>
            <wp:extent cx="23914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-158115</wp:posOffset>
            </wp:positionV>
            <wp:extent cx="51860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808355</wp:posOffset>
            </wp:positionV>
            <wp:extent cx="545211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10795</wp:posOffset>
            </wp:positionV>
            <wp:extent cx="26574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1"/>
          <w:szCs w:val="21"/>
          <w:b w:val="1"/>
          <w:bCs w:val="1"/>
          <w:color w:val="auto"/>
        </w:rPr>
        <w:t>NEUROBO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STOCK GRANT AGREEMENT</w:t>
      </w:r>
    </w:p>
    <w:p>
      <w:pPr>
        <w:sectPr>
          <w:pgSz w:w="11900" w:h="16838" w:orient="portrait"/>
          <w:cols w:equalWidth="0" w:num="1">
            <w:col w:w="9019"/>
          </w:cols>
          <w:pgMar w:left="1440" w:top="891" w:right="1440" w:bottom="1440" w:gutter="0" w:footer="0" w:header="0"/>
        </w:sectPr>
      </w:pPr>
    </w:p>
    <w:p>
      <w:pPr>
        <w:spacing w:after="0" w:line="178" w:lineRule="exact"/>
        <w:rPr>
          <w:sz w:val="20"/>
          <w:szCs w:val="20"/>
          <w:color w:val="auto"/>
        </w:rPr>
      </w:pPr>
    </w:p>
    <w:p>
      <w:pPr>
        <w:ind w:left="300" w:right="140"/>
        <w:spacing w:after="0" w:line="262" w:lineRule="auto"/>
        <w:rPr>
          <w:sz w:val="20"/>
          <w:szCs w:val="20"/>
          <w:color w:val="auto"/>
        </w:rPr>
      </w:pPr>
      <w:r>
        <w:rPr>
          <w:rFonts w:ascii="Times New Roman" w:cs="Times New Roman" w:eastAsia="Times New Roman" w:hAnsi="Times New Roman"/>
          <w:sz w:val="22"/>
          <w:szCs w:val="22"/>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319"/>
        <w:spacing w:after="0" w:line="236" w:lineRule="auto"/>
        <w:rPr>
          <w:sz w:val="20"/>
          <w:szCs w:val="20"/>
          <w:color w:val="auto"/>
        </w:rPr>
      </w:pPr>
      <w:r>
        <w:rPr>
          <w:rFonts w:ascii="Times New Roman" w:cs="Times New Roman" w:eastAsia="Times New Roman" w:hAnsi="Times New Roman"/>
          <w:sz w:val="22"/>
          <w:szCs w:val="22"/>
          <w:color w:val="auto"/>
        </w:rPr>
        <w:t>The text of the Plan is incorporated in this Agreement by this reference. You and the Company agree to execute such further instruments and to take such further action as may reasonably be necessary to carry out the intent of this Agreement. Unless otherwise defined in this Agreement, certain capitalized terms used in this Agreement are defined in the Plan.</w:t>
      </w:r>
    </w:p>
    <w:p>
      <w:pPr>
        <w:spacing w:after="0" w:line="200" w:lineRule="exact"/>
        <w:rPr>
          <w:sz w:val="20"/>
          <w:szCs w:val="20"/>
          <w:color w:val="auto"/>
        </w:rPr>
      </w:pPr>
    </w:p>
    <w:p>
      <w:pPr>
        <w:sectPr>
          <w:pgSz w:w="11900" w:h="16838" w:orient="portrait"/>
          <w:cols w:equalWidth="0" w:num="2">
            <w:col w:w="2280" w:space="720"/>
            <w:col w:w="6019"/>
          </w:cols>
          <w:pgMar w:left="1440" w:top="891" w:right="1440" w:bottom="1440" w:gutter="0" w:footer="0" w:header="0"/>
          <w:type w:val="continuous"/>
        </w:sectPr>
      </w:pPr>
    </w:p>
    <w:p>
      <w:pPr>
        <w:spacing w:after="0" w:line="8" w:lineRule="exact"/>
        <w:rPr>
          <w:sz w:val="20"/>
          <w:szCs w:val="20"/>
          <w:color w:val="auto"/>
        </w:rPr>
      </w:pPr>
    </w:p>
    <w:p>
      <w:pPr>
        <w:jc w:val="both"/>
        <w:ind w:left="3000" w:right="319"/>
        <w:spacing w:after="0" w:line="239" w:lineRule="auto"/>
        <w:rPr>
          <w:sz w:val="20"/>
          <w:szCs w:val="20"/>
          <w:color w:val="auto"/>
        </w:rPr>
      </w:pPr>
      <w:r>
        <w:rPr>
          <w:rFonts w:ascii="Times New Roman" w:cs="Times New Roman" w:eastAsia="Times New Roman" w:hAnsi="Times New Roman"/>
          <w:sz w:val="22"/>
          <w:szCs w:val="22"/>
          <w:color w:val="auto"/>
        </w:rPr>
        <w:t>This Agreement, the attached Exhibits and the Plan constitute the entire understanding between you and the Company regarding this Award of Restricted Stock. Any prior agreements, commitments or negotiations are superseded.</w:t>
      </w:r>
    </w:p>
    <w:p>
      <w:pPr>
        <w:spacing w:after="0" w:line="207" w:lineRule="exact"/>
        <w:rPr>
          <w:sz w:val="20"/>
          <w:szCs w:val="20"/>
          <w:color w:val="auto"/>
        </w:rPr>
      </w:pPr>
    </w:p>
    <w:p>
      <w:pPr>
        <w:jc w:val="both"/>
        <w:ind w:left="3000" w:right="319"/>
        <w:spacing w:after="0" w:line="233" w:lineRule="auto"/>
        <w:rPr>
          <w:sz w:val="20"/>
          <w:szCs w:val="20"/>
          <w:color w:val="auto"/>
        </w:rPr>
      </w:pPr>
      <w:r>
        <w:rPr>
          <w:rFonts w:ascii="Times New Roman" w:cs="Times New Roman" w:eastAsia="Times New Roman" w:hAnsi="Times New Roman"/>
          <w:sz w:val="22"/>
          <w:szCs w:val="22"/>
          <w:color w:val="auto"/>
        </w:rPr>
        <w:t>For purposes of this Agreement, “Service” means Participant’s service as an Employee, Consultant, or non-employee director of the Company or Company Affiliate. Service will be deemed terminated as soon as the entity to which Service is being provided is no longer either (i) the Company or (ii) an Affiliate. The Administrator determines when Service commences and when Service terminates. The Administrator may determine whether any Company transaction, such as a sale or spin-off of a division or subsidiary that employs a Participant, shall be deemed to result in termination of Service for purposes of this Agreement and the Administrator’s decision shall be final, conclusive and binding.</w:t>
      </w:r>
    </w:p>
    <w:p>
      <w:pPr>
        <w:sectPr>
          <w:pgSz w:w="11900" w:h="16838" w:orient="portrait"/>
          <w:cols w:equalWidth="0" w:num="1">
            <w:col w:w="9019"/>
          </w:cols>
          <w:pgMar w:left="1440" w:top="891" w:right="1440" w:bottom="1440" w:gutter="0" w:footer="0" w:header="0"/>
          <w:type w:val="continuous"/>
        </w:sectPr>
      </w:pPr>
    </w:p>
    <w:p>
      <w:pPr>
        <w:spacing w:after="0" w:line="208" w:lineRule="exact"/>
        <w:rPr>
          <w:sz w:val="20"/>
          <w:szCs w:val="20"/>
          <w:color w:val="auto"/>
        </w:rPr>
      </w:pPr>
    </w:p>
    <w:p>
      <w:pPr>
        <w:jc w:val="both"/>
        <w:ind w:left="3000" w:right="319" w:hanging="2685"/>
        <w:spacing w:after="0" w:line="244" w:lineRule="auto"/>
        <w:tabs>
          <w:tab w:leader="none" w:pos="2980" w:val="left"/>
        </w:tabs>
        <w:rPr>
          <w:sz w:val="20"/>
          <w:szCs w:val="20"/>
          <w:color w:val="auto"/>
        </w:rPr>
      </w:pPr>
      <w:r>
        <w:rPr>
          <w:rFonts w:ascii="Times New Roman" w:cs="Times New Roman" w:eastAsia="Times New Roman" w:hAnsi="Times New Roman"/>
          <w:sz w:val="22"/>
          <w:szCs w:val="22"/>
          <w:b w:val="1"/>
          <w:bCs w:val="1"/>
          <w:color w:val="auto"/>
        </w:rPr>
        <w:t>Award of Restricted Stock</w:t>
      </w:r>
      <w:r>
        <w:rPr>
          <w:sz w:val="20"/>
          <w:szCs w:val="20"/>
          <w:color w:val="auto"/>
        </w:rPr>
        <w:tab/>
      </w:r>
      <w:r>
        <w:rPr>
          <w:rFonts w:ascii="Times New Roman" w:cs="Times New Roman" w:eastAsia="Times New Roman" w:hAnsi="Times New Roman"/>
          <w:sz w:val="21"/>
          <w:szCs w:val="21"/>
          <w:color w:val="auto"/>
        </w:rPr>
        <w:t>The Company awards you the number of shares of Restricted Stock shown on the cover sheet of this Agreement. The Award is subject to the terms and conditions of this Agreement and the Plan. This Award is not intended to constitute a nonqualified deferred compensation plan within the meaning of section 409A of the Code and will be interpreted accordingly. You will also be required, as a condition of this Award, to enter into any Stockholders Agreement or other agreements that are applicable to stockholders. In the event of any conflict in terms between the Stockholders Agreement and this Agreement, the terms of the</w:t>
      </w: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1760" w:type="dxa"/>
            <w:vAlign w:val="bottom"/>
          </w:tcPr>
          <w:p>
            <w:pPr>
              <w:spacing w:after="0"/>
              <w:rPr>
                <w:sz w:val="24"/>
                <w:szCs w:val="24"/>
                <w:color w:val="auto"/>
              </w:rPr>
            </w:pPr>
          </w:p>
        </w:tc>
        <w:tc>
          <w:tcPr>
            <w:tcW w:w="68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Stockholders Agreement shall prevail and govern.</w:t>
            </w:r>
          </w:p>
        </w:tc>
      </w:tr>
      <w:tr>
        <w:trPr>
          <w:trHeight w:val="423"/>
        </w:trPr>
        <w:tc>
          <w:tcPr>
            <w:tcW w:w="17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Vesting</w:t>
            </w:r>
          </w:p>
        </w:tc>
        <w:tc>
          <w:tcPr>
            <w:tcW w:w="68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This Award will vest according to the Vesting Schedule on the</w:t>
            </w:r>
          </w:p>
        </w:tc>
      </w:tr>
      <w:tr>
        <w:trPr>
          <w:trHeight w:val="282"/>
        </w:trPr>
        <w:tc>
          <w:tcPr>
            <w:tcW w:w="1760" w:type="dxa"/>
            <w:vAlign w:val="bottom"/>
          </w:tcPr>
          <w:p>
            <w:pPr>
              <w:spacing w:after="0"/>
              <w:rPr>
                <w:sz w:val="24"/>
                <w:szCs w:val="24"/>
                <w:color w:val="auto"/>
              </w:rPr>
            </w:pPr>
          </w:p>
        </w:tc>
        <w:tc>
          <w:tcPr>
            <w:tcW w:w="68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attached cover sheet.</w:t>
            </w:r>
          </w:p>
        </w:tc>
      </w:tr>
      <w:tr>
        <w:trPr>
          <w:trHeight w:val="447"/>
        </w:trPr>
        <w:tc>
          <w:tcPr>
            <w:tcW w:w="17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Escrow</w:t>
            </w:r>
          </w:p>
        </w:tc>
        <w:tc>
          <w:tcPr>
            <w:tcW w:w="68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The Company shall issue the Shares of Restricted Stock either (i)</w:t>
            </w:r>
          </w:p>
        </w:tc>
      </w:tr>
      <w:tr>
        <w:trPr>
          <w:trHeight w:val="243"/>
        </w:trPr>
        <w:tc>
          <w:tcPr>
            <w:tcW w:w="1760" w:type="dxa"/>
            <w:vAlign w:val="bottom"/>
          </w:tcPr>
          <w:p>
            <w:pPr>
              <w:spacing w:after="0"/>
              <w:rPr>
                <w:sz w:val="21"/>
                <w:szCs w:val="21"/>
                <w:color w:val="auto"/>
              </w:rPr>
            </w:pPr>
          </w:p>
        </w:tc>
        <w:tc>
          <w:tcPr>
            <w:tcW w:w="68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in certificate form or (ii) in book entry form, registered in the</w:t>
            </w:r>
          </w:p>
        </w:tc>
      </w:tr>
      <w:tr>
        <w:trPr>
          <w:trHeight w:val="282"/>
        </w:trPr>
        <w:tc>
          <w:tcPr>
            <w:tcW w:w="1760" w:type="dxa"/>
            <w:vAlign w:val="bottom"/>
          </w:tcPr>
          <w:p>
            <w:pPr>
              <w:spacing w:after="0"/>
              <w:rPr>
                <w:sz w:val="24"/>
                <w:szCs w:val="24"/>
                <w:color w:val="auto"/>
              </w:rPr>
            </w:pPr>
          </w:p>
        </w:tc>
        <w:tc>
          <w:tcPr>
            <w:tcW w:w="68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name of Participant, with legends, or notations, as applicable,</w:t>
            </w:r>
          </w:p>
        </w:tc>
      </w:tr>
      <w:tr>
        <w:trPr>
          <w:trHeight w:val="791"/>
        </w:trPr>
        <w:tc>
          <w:tcPr>
            <w:tcW w:w="176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1" w:right="1440" w:bottom="1440" w:gutter="0" w:footer="0" w:header="0"/>
          <w:type w:val="continuous"/>
        </w:sectPr>
      </w:pPr>
    </w:p>
    <w:bookmarkStart w:id="167" w:name="page168"/>
    <w:bookmarkEnd w:id="167"/>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300" w:type="dxa"/>
            <w:vAlign w:val="bottom"/>
          </w:tcPr>
          <w:p>
            <w:pPr>
              <w:spacing w:after="0"/>
              <w:rPr>
                <w:sz w:val="22"/>
                <w:szCs w:val="22"/>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9"/>
              </w:rPr>
              <w:t>referring to the terms, conditions and restrictions applicable to the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Award. Any certificate(s) for the Restricted Stock shall be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deposited in escrow with the Secretary of the Company (or</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his/her designee) to be held in accordance with the provisions of</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this paragraph. Each deposited certificate shall be accompanied</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by a duly executed Assignment Separate from Certificate in the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form attached hereto as Exhibit A. Any deposited certificates</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shall remain in escrow until such time as the certificates are to be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released or otherwise surrendered for cancellation as discussed</w:t>
            </w:r>
          </w:p>
        </w:tc>
      </w:tr>
      <w:tr>
        <w:trPr>
          <w:trHeight w:val="282"/>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below.</w:t>
            </w:r>
          </w:p>
        </w:tc>
      </w:tr>
      <w:tr>
        <w:trPr>
          <w:trHeight w:val="447"/>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All dividends whether in cash or in stock, if any, on the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Restricted Stock shall also be held in escrow and subject to the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same vesting terms and conditions as the Restricted Stock and</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such dividends shall only be paid to Participant upon vesting of</w:t>
            </w:r>
          </w:p>
        </w:tc>
      </w:tr>
      <w:tr>
        <w:trPr>
          <w:trHeight w:val="282"/>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the underlying Shares of Restricted Stock.</w:t>
            </w:r>
          </w:p>
        </w:tc>
      </w:tr>
      <w:tr>
        <w:trPr>
          <w:trHeight w:val="447"/>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If and when your interest in the Restricted Stock vests, the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Company shall, as applicable, either remove the notations on any</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such Shares of Restricted Stock issued in book entry form or</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deliver to Participant a stock certificate representing a number of</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Shares, equal to the number of Shares of Restricted Stock with</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9"/>
              </w:rPr>
              <w:t>respect to which have become vested; provided, however, that the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minimum number of Shares released to you in any individual</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release of Shares must be for at least twenty-five (25) Shares</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(unless the release represents your final release of Shares from</w:t>
            </w:r>
          </w:p>
        </w:tc>
      </w:tr>
      <w:tr>
        <w:trPr>
          <w:trHeight w:val="282"/>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escrow).</w:t>
            </w:r>
          </w:p>
        </w:tc>
      </w:tr>
      <w:tr>
        <w:trPr>
          <w:trHeight w:val="447"/>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Upon termination of your Service for any reason prior to vesting</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and in which no vesting is provided upon such termination, any</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unvested Restricted Stock subject to this Agreement shall be</w:t>
            </w:r>
          </w:p>
        </w:tc>
      </w:tr>
      <w:tr>
        <w:trPr>
          <w:trHeight w:val="282"/>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immediately surrendered to the Company.</w:t>
            </w:r>
          </w:p>
        </w:tc>
      </w:tr>
      <w:tr>
        <w:trPr>
          <w:trHeight w:val="443"/>
        </w:trPr>
        <w:tc>
          <w:tcPr>
            <w:tcW w:w="23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Code Section 83(b)</w:t>
            </w: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You represent and warrant that you understand the Federal, state</w:t>
            </w:r>
          </w:p>
        </w:tc>
      </w:tr>
      <w:tr>
        <w:trPr>
          <w:trHeight w:val="247"/>
        </w:trPr>
        <w:tc>
          <w:tcPr>
            <w:tcW w:w="2300" w:type="dxa"/>
            <w:vAlign w:val="bottom"/>
          </w:tcPr>
          <w:p>
            <w:pPr>
              <w:ind w:left="80"/>
              <w:spacing w:after="0" w:line="247" w:lineRule="exact"/>
              <w:rPr>
                <w:sz w:val="20"/>
                <w:szCs w:val="20"/>
                <w:color w:val="auto"/>
              </w:rPr>
            </w:pPr>
            <w:r>
              <w:rPr>
                <w:rFonts w:ascii="Times New Roman" w:cs="Times New Roman" w:eastAsia="Times New Roman" w:hAnsi="Times New Roman"/>
                <w:sz w:val="22"/>
                <w:szCs w:val="22"/>
                <w:b w:val="1"/>
                <w:bCs w:val="1"/>
                <w:color w:val="auto"/>
              </w:rPr>
              <w:t>Election</w:t>
            </w:r>
          </w:p>
        </w:tc>
        <w:tc>
          <w:tcPr>
            <w:tcW w:w="6280" w:type="dxa"/>
            <w:vAlign w:val="bottom"/>
          </w:tcPr>
          <w:p>
            <w:pPr>
              <w:ind w:left="480"/>
              <w:spacing w:after="0" w:line="247" w:lineRule="exact"/>
              <w:rPr>
                <w:sz w:val="20"/>
                <w:szCs w:val="20"/>
                <w:color w:val="auto"/>
              </w:rPr>
            </w:pPr>
            <w:r>
              <w:rPr>
                <w:rFonts w:ascii="Times New Roman" w:cs="Times New Roman" w:eastAsia="Times New Roman" w:hAnsi="Times New Roman"/>
                <w:sz w:val="22"/>
                <w:szCs w:val="22"/>
                <w:color w:val="auto"/>
              </w:rPr>
              <w:t>and local income tax consequences of the granting of this</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Restricted Stock. Under Section 83 of the Code, the Fair Market</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Value  of  the  Restricted  Stock  on  the  date  any  forfeiture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restrictions applicable to such Restricted Stock lapse will be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reportable as ordinary income at that time. For this purpose,</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“forfeiture restrictions” include surrender to the Company of</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unvested  Restricted  Stock  as  described  above.  You  may</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voluntarily elect to be taxed at the time the Restricted Stock is</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9"/>
              </w:rPr>
              <w:t>acquired to the extent that the Fair Market Value of the Restricted</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Stock exceeds the amount of consideration paid by you (if any)</w:t>
            </w:r>
          </w:p>
        </w:tc>
      </w:tr>
      <w:tr>
        <w:trPr>
          <w:trHeight w:val="243"/>
        </w:trPr>
        <w:tc>
          <w:tcPr>
            <w:tcW w:w="2300" w:type="dxa"/>
            <w:vAlign w:val="bottom"/>
          </w:tcPr>
          <w:p>
            <w:pPr>
              <w:spacing w:after="0"/>
              <w:rPr>
                <w:sz w:val="21"/>
                <w:szCs w:val="21"/>
                <w:color w:val="auto"/>
              </w:rPr>
            </w:pPr>
          </w:p>
        </w:tc>
        <w:tc>
          <w:tcPr>
            <w:tcW w:w="62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for such Restricted Stock at that time rather than when such</w:t>
            </w:r>
          </w:p>
        </w:tc>
      </w:tr>
      <w:tr>
        <w:trPr>
          <w:trHeight w:val="282"/>
        </w:trPr>
        <w:tc>
          <w:tcPr>
            <w:tcW w:w="2300" w:type="dxa"/>
            <w:vAlign w:val="bottom"/>
          </w:tcPr>
          <w:p>
            <w:pPr>
              <w:spacing w:after="0"/>
              <w:rPr>
                <w:sz w:val="24"/>
                <w:szCs w:val="24"/>
                <w:color w:val="auto"/>
              </w:rPr>
            </w:pPr>
          </w:p>
        </w:tc>
        <w:tc>
          <w:tcPr>
            <w:tcW w:w="6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Restricted Stock ceases to be subject to such forfeiture</w:t>
            </w:r>
          </w:p>
        </w:tc>
      </w:tr>
      <w:tr>
        <w:trPr>
          <w:trHeight w:val="405"/>
        </w:trPr>
        <w:tc>
          <w:tcPr>
            <w:tcW w:w="2300" w:type="dxa"/>
            <w:vAlign w:val="bottom"/>
          </w:tcPr>
          <w:p>
            <w:pPr>
              <w:spacing w:after="0"/>
              <w:rPr>
                <w:sz w:val="24"/>
                <w:szCs w:val="24"/>
                <w:color w:val="auto"/>
              </w:rPr>
            </w:pPr>
          </w:p>
        </w:tc>
        <w:tc>
          <w:tcPr>
            <w:tcW w:w="6280" w:type="dxa"/>
            <w:vAlign w:val="bottom"/>
          </w:tcPr>
          <w:p>
            <w:pPr>
              <w:ind w:left="1880"/>
              <w:spacing w:after="0"/>
              <w:rPr>
                <w:sz w:val="20"/>
                <w:szCs w:val="20"/>
                <w:color w:val="auto"/>
              </w:rPr>
            </w:pPr>
            <w:r>
              <w:rPr>
                <w:rFonts w:ascii="Times New Roman" w:cs="Times New Roman" w:eastAsia="Times New Roman" w:hAnsi="Times New Roman"/>
                <w:sz w:val="22"/>
                <w:szCs w:val="22"/>
                <w:color w:val="auto"/>
              </w:rPr>
              <w:t>35</w:t>
            </w:r>
          </w:p>
        </w:tc>
      </w:tr>
      <w:tr>
        <w:trPr>
          <w:trHeight w:val="791"/>
        </w:trPr>
        <w:tc>
          <w:tcPr>
            <w:tcW w:w="230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85" w:right="1440" w:bottom="1440" w:gutter="0" w:footer="0" w:header="0"/>
        </w:sectPr>
      </w:pPr>
    </w:p>
    <w:bookmarkStart w:id="168" w:name="page169"/>
    <w:bookmarkEnd w:id="16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780" w:type="dxa"/>
            <w:vAlign w:val="bottom"/>
          </w:tcPr>
          <w:p>
            <w:pPr>
              <w:spacing w:after="0"/>
              <w:rPr>
                <w:sz w:val="22"/>
                <w:szCs w:val="22"/>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restrictions, by filing an election under Section 83(b) of the Code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9"/>
              </w:rPr>
              <w:t>with the Internal Revenue Service within thirty (30) days after the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Date of Award. A form for making this election is attached as</w:t>
            </w:r>
          </w:p>
        </w:tc>
      </w:tr>
      <w:tr>
        <w:trPr>
          <w:trHeight w:val="230"/>
        </w:trPr>
        <w:tc>
          <w:tcPr>
            <w:tcW w:w="2780" w:type="dxa"/>
            <w:vAlign w:val="bottom"/>
          </w:tcPr>
          <w:p>
            <w:pPr>
              <w:spacing w:after="0"/>
              <w:rPr>
                <w:sz w:val="19"/>
                <w:szCs w:val="19"/>
                <w:color w:val="auto"/>
              </w:rPr>
            </w:pPr>
          </w:p>
        </w:tc>
        <w:tc>
          <w:tcPr>
            <w:tcW w:w="58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Exhibit B hereto. Failure to make this filing within the thirty (30)</w:t>
            </w:r>
          </w:p>
        </w:tc>
      </w:tr>
      <w:tr>
        <w:trPr>
          <w:trHeight w:val="232"/>
        </w:trPr>
        <w:tc>
          <w:tcPr>
            <w:tcW w:w="2780" w:type="dxa"/>
            <w:vAlign w:val="bottom"/>
          </w:tcPr>
          <w:p>
            <w:pPr>
              <w:spacing w:after="0"/>
              <w:rPr>
                <w:sz w:val="20"/>
                <w:szCs w:val="20"/>
                <w:color w:val="auto"/>
              </w:rPr>
            </w:pPr>
          </w:p>
        </w:tc>
        <w:tc>
          <w:tcPr>
            <w:tcW w:w="820" w:type="dxa"/>
            <w:vAlign w:val="bottom"/>
            <w:tcBorders>
              <w:top w:val="single" w:sz="8" w:color="auto"/>
            </w:tcBorders>
          </w:tcPr>
          <w:p>
            <w:pPr>
              <w:spacing w:after="0" w:line="232" w:lineRule="exact"/>
              <w:rPr>
                <w:sz w:val="20"/>
                <w:szCs w:val="20"/>
                <w:color w:val="auto"/>
              </w:rPr>
            </w:pPr>
            <w:r>
              <w:rPr>
                <w:rFonts w:ascii="Times New Roman" w:cs="Times New Roman" w:eastAsia="Times New Roman" w:hAnsi="Times New Roman"/>
                <w:sz w:val="22"/>
                <w:szCs w:val="22"/>
                <w:color w:val="auto"/>
                <w:w w:val="85"/>
              </w:rPr>
              <w:t>day period</w:t>
            </w:r>
          </w:p>
        </w:tc>
        <w:tc>
          <w:tcPr>
            <w:tcW w:w="4980" w:type="dxa"/>
            <w:vAlign w:val="bottom"/>
          </w:tcPr>
          <w:p>
            <w:pPr>
              <w:ind w:left="200"/>
              <w:spacing w:after="0" w:line="232" w:lineRule="exact"/>
              <w:rPr>
                <w:sz w:val="20"/>
                <w:szCs w:val="20"/>
                <w:color w:val="auto"/>
              </w:rPr>
            </w:pPr>
            <w:r>
              <w:rPr>
                <w:rFonts w:ascii="Times New Roman" w:cs="Times New Roman" w:eastAsia="Times New Roman" w:hAnsi="Times New Roman"/>
                <w:sz w:val="22"/>
                <w:szCs w:val="22"/>
                <w:color w:val="auto"/>
              </w:rPr>
              <w:t>will result in the recognition of ordinary income by</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9"/>
              </w:rPr>
              <w:t xml:space="preserve">you as the forfeiture restrictions lapse. </w:t>
            </w:r>
            <w:r>
              <w:rPr>
                <w:rFonts w:ascii="Times New Roman" w:cs="Times New Roman" w:eastAsia="Times New Roman" w:hAnsi="Times New Roman"/>
                <w:sz w:val="22"/>
                <w:szCs w:val="22"/>
                <w:b w:val="1"/>
                <w:bCs w:val="1"/>
                <w:color w:val="auto"/>
                <w:w w:val="99"/>
              </w:rPr>
              <w:t>YOU ACKNOWLEDGE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THAT IT IS YOUR SOLE RESPONSIBILITY, AND NOT</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THE  COMPANY’S,  TO  FILE  A  TIMELY  ELECTION</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UNDER CODE SECTION 83(b), EVEN IF YOU REQUEST</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THE COMPANY OR ITS REPRESENTATIVES TO MAKE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THIS FILING ON YOUR BEHALF. MOREOVER, YOU</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ARE RELYING SOLELY ON YOUR OWN ADVISORS</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WITH RESPECT TO THE DECISION AS TO WHETHER</w:t>
            </w:r>
          </w:p>
        </w:tc>
      </w:tr>
      <w:tr>
        <w:trPr>
          <w:trHeight w:val="286"/>
        </w:trPr>
        <w:tc>
          <w:tcPr>
            <w:tcW w:w="27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OR NOT TO FILE A CODE SECTION 83(b) ELECTION.</w:t>
            </w:r>
          </w:p>
        </w:tc>
      </w:tr>
      <w:tr>
        <w:trPr>
          <w:trHeight w:val="447"/>
        </w:trPr>
        <w:tc>
          <w:tcPr>
            <w:tcW w:w="27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Voting and Other Rights</w:t>
            </w: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Subject to the terms of this Agreement, you shall have all the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rights and privileges of a stockholder of the Company while the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Restricted Stock is held in escrow, including the right to vote and</w:t>
            </w:r>
          </w:p>
        </w:tc>
      </w:tr>
      <w:tr>
        <w:trPr>
          <w:trHeight w:val="282"/>
        </w:trPr>
        <w:tc>
          <w:tcPr>
            <w:tcW w:w="27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receive dividends (if any).</w:t>
            </w:r>
          </w:p>
        </w:tc>
      </w:tr>
      <w:tr>
        <w:trPr>
          <w:trHeight w:val="447"/>
        </w:trPr>
        <w:tc>
          <w:tcPr>
            <w:tcW w:w="27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Leave of Absence</w:t>
            </w: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For purposes of this Agreement, while you are a common-law</w:t>
            </w:r>
          </w:p>
        </w:tc>
      </w:tr>
      <w:tr>
        <w:trPr>
          <w:trHeight w:val="239"/>
        </w:trPr>
        <w:tc>
          <w:tcPr>
            <w:tcW w:w="2780" w:type="dxa"/>
            <w:vAlign w:val="bottom"/>
          </w:tcPr>
          <w:p>
            <w:pPr>
              <w:spacing w:after="0"/>
              <w:rPr>
                <w:sz w:val="20"/>
                <w:szCs w:val="20"/>
                <w:color w:val="auto"/>
              </w:rPr>
            </w:pPr>
          </w:p>
        </w:tc>
        <w:tc>
          <w:tcPr>
            <w:tcW w:w="5800" w:type="dxa"/>
            <w:vAlign w:val="bottom"/>
            <w:gridSpan w:val="2"/>
          </w:tcPr>
          <w:p>
            <w:pPr>
              <w:spacing w:after="0" w:line="239" w:lineRule="exact"/>
              <w:rPr>
                <w:sz w:val="20"/>
                <w:szCs w:val="20"/>
                <w:color w:val="auto"/>
              </w:rPr>
            </w:pPr>
            <w:r>
              <w:rPr>
                <w:rFonts w:ascii="Times New Roman" w:cs="Times New Roman" w:eastAsia="Times New Roman" w:hAnsi="Times New Roman"/>
                <w:sz w:val="22"/>
                <w:szCs w:val="22"/>
                <w:color w:val="auto"/>
              </w:rPr>
              <w:t>employee, your Service does not terminate when you go on a</w:t>
            </w:r>
          </w:p>
        </w:tc>
      </w:tr>
      <w:tr>
        <w:trPr>
          <w:trHeight w:val="247"/>
        </w:trPr>
        <w:tc>
          <w:tcPr>
            <w:tcW w:w="2780" w:type="dxa"/>
            <w:vAlign w:val="bottom"/>
          </w:tcPr>
          <w:p>
            <w:pPr>
              <w:spacing w:after="0"/>
              <w:rPr>
                <w:sz w:val="21"/>
                <w:szCs w:val="21"/>
                <w:color w:val="auto"/>
              </w:rPr>
            </w:pPr>
          </w:p>
        </w:tc>
        <w:tc>
          <w:tcPr>
            <w:tcW w:w="580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i w:val="1"/>
                <w:iCs w:val="1"/>
                <w:color w:val="auto"/>
                <w:w w:val="99"/>
              </w:rPr>
              <w:t xml:space="preserve">bona fide </w:t>
            </w:r>
            <w:r>
              <w:rPr>
                <w:rFonts w:ascii="Times New Roman" w:cs="Times New Roman" w:eastAsia="Times New Roman" w:hAnsi="Times New Roman"/>
                <w:sz w:val="22"/>
                <w:szCs w:val="22"/>
                <w:color w:val="auto"/>
                <w:w w:val="99"/>
              </w:rPr>
              <w:t>leave of absence that was approved by the Company (or</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Affiliate) in writing, if the terms of the leave provide for</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continued Service crediting, or when continued Service crediting</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is required by applicable law. Your Service terminates in any</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event when the approved leave ends, unless you immediately</w:t>
            </w:r>
          </w:p>
        </w:tc>
      </w:tr>
      <w:tr>
        <w:trPr>
          <w:trHeight w:val="282"/>
        </w:trPr>
        <w:tc>
          <w:tcPr>
            <w:tcW w:w="27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return to active work.</w:t>
            </w:r>
          </w:p>
        </w:tc>
      </w:tr>
      <w:tr>
        <w:trPr>
          <w:trHeight w:val="447"/>
        </w:trPr>
        <w:tc>
          <w:tcPr>
            <w:tcW w:w="27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Company determines which leaves count for this purpose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(along with determining the effect of a leave of absence on</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vesting of the Award), and when your Service terminates for all</w:t>
            </w:r>
          </w:p>
        </w:tc>
      </w:tr>
      <w:tr>
        <w:trPr>
          <w:trHeight w:val="282"/>
        </w:trPr>
        <w:tc>
          <w:tcPr>
            <w:tcW w:w="27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purposes under the Plan.</w:t>
            </w:r>
          </w:p>
        </w:tc>
      </w:tr>
      <w:tr>
        <w:trPr>
          <w:trHeight w:val="447"/>
        </w:trPr>
        <w:tc>
          <w:tcPr>
            <w:tcW w:w="27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No Assignment</w:t>
            </w: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Shares subject to this Award shall not be sold, anticipated,</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assigned, attached, garnished, optioned, transferred or made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subject  to  any  creditor’s  process,  whether  voluntarily,</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involuntarily or by operation of law. However, this shall not</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preclude a transfer of vested Shares by will or by the laws of</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descent  and  distribution.  In  addition,  pursuant  to  Company</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procedures, you may designate a beneficiary who will receive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any outstanding vested Shares in the event of your death.</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Regardless of any marital property settlement agreement, the</w:t>
            </w:r>
          </w:p>
        </w:tc>
      </w:tr>
      <w:tr>
        <w:trPr>
          <w:trHeight w:val="243"/>
        </w:trPr>
        <w:tc>
          <w:tcPr>
            <w:tcW w:w="278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Company is not obligated to recognize your spouse’s interest in</w:t>
            </w:r>
          </w:p>
        </w:tc>
      </w:tr>
      <w:tr>
        <w:trPr>
          <w:trHeight w:val="282"/>
        </w:trPr>
        <w:tc>
          <w:tcPr>
            <w:tcW w:w="27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your Award in any way.</w:t>
            </w:r>
          </w:p>
        </w:tc>
      </w:tr>
      <w:tr>
        <w:trPr>
          <w:trHeight w:val="648"/>
        </w:trPr>
        <w:tc>
          <w:tcPr>
            <w:tcW w:w="2780" w:type="dxa"/>
            <w:vAlign w:val="bottom"/>
          </w:tcPr>
          <w:p>
            <w:pPr>
              <w:spacing w:after="0"/>
              <w:rPr>
                <w:sz w:val="24"/>
                <w:szCs w:val="24"/>
                <w:color w:val="auto"/>
              </w:rPr>
            </w:pPr>
          </w:p>
        </w:tc>
        <w:tc>
          <w:tcPr>
            <w:tcW w:w="580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36</w:t>
            </w:r>
          </w:p>
        </w:tc>
      </w:tr>
      <w:tr>
        <w:trPr>
          <w:trHeight w:val="791"/>
        </w:trPr>
        <w:tc>
          <w:tcPr>
            <w:tcW w:w="2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85" w:right="1440" w:bottom="1440" w:gutter="0" w:footer="0" w:header="0"/>
        </w:sectPr>
      </w:pPr>
    </w:p>
    <w:bookmarkStart w:id="169" w:name="page170"/>
    <w:bookmarkEnd w:id="16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Restrictions on Issuance</w:t>
            </w: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The Company will not issue any Shares if the issuance of such</w:t>
            </w:r>
          </w:p>
        </w:tc>
      </w:tr>
      <w:tr>
        <w:trPr>
          <w:trHeight w:val="286"/>
        </w:trPr>
        <w:tc>
          <w:tcPr>
            <w:tcW w:w="25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and Resale</w:t>
            </w: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Shares at that time would violate any law or regulation.</w:t>
            </w:r>
          </w:p>
        </w:tc>
      </w:tr>
      <w:tr>
        <w:trPr>
          <w:trHeight w:val="447"/>
        </w:trPr>
        <w:tc>
          <w:tcPr>
            <w:tcW w:w="254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By signing this Agreement, you agree not to sell, transfer, dispose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of, pledge, hypothecate, make any short sale of, or otherwise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effect a similar transaction of any Shares acquired under this</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Award (each a “Sale Prohibition”) at a time when applicable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laws, regulations or Company or underwriter trading policies</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prohibit the exercise or disposition of Shares. The Company shall</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have the right to designate one or more periods of time, each of</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which generally will not exceed one hundred eighty (180) days in</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length (provided however, that such period may be extended in</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connection with the Company’s release (or announcement of</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release) of earnings results or other material news or events), and</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to impose a Sale Prohibition, if the Company determines (in its</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sole discretion) that such limitation(s) is needed in connection</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with  a  public  offering  of  Shares  or  to  comply  with  an</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underwriter’s request or trading policy, or could in any way</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facilitate a lessening of any restriction on transfer pursuant to the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Securities Act or any state securities laws with respect to any</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issuance of securities by the Company, facilitate the registration</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 qualification of any securities by the Company under the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Securities Act or any state securities laws, or facilitate the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perfection of any exemption from the registration or qualification</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requirements  of  the  Securities  Act  or  any  applicable  state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securities laws for the issuance or transfer of any securities. The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Company   may   issue   stop/transfer   instructions   and/or</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appropriately legend any stock certificates issued pursuant to this</w:t>
            </w:r>
          </w:p>
        </w:tc>
      </w:tr>
      <w:tr>
        <w:trPr>
          <w:trHeight w:val="282"/>
        </w:trPr>
        <w:tc>
          <w:tcPr>
            <w:tcW w:w="254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Award in order to ensure compliance with the foregoing.</w:t>
            </w:r>
          </w:p>
        </w:tc>
      </w:tr>
      <w:tr>
        <w:trPr>
          <w:trHeight w:val="447"/>
        </w:trPr>
        <w:tc>
          <w:tcPr>
            <w:tcW w:w="254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If the sale of Shares acquired under this Award is not registered</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under the Securities Act, but an exemption is available which</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requires an investment representation or other representation and</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warranty, you shall represent and agree that the Shares being</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acquired are being acquired for investment, and not with a view</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to the sale or distribution thereof, and shall make such other</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representations  and  warranties  as  are  deemed  necessary  or</w:t>
            </w:r>
          </w:p>
        </w:tc>
      </w:tr>
      <w:tr>
        <w:trPr>
          <w:trHeight w:val="282"/>
        </w:trPr>
        <w:tc>
          <w:tcPr>
            <w:tcW w:w="254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appropriate by the Company and its counsel.</w:t>
            </w:r>
          </w:p>
        </w:tc>
      </w:tr>
      <w:tr>
        <w:trPr>
          <w:trHeight w:val="447"/>
        </w:trPr>
        <w:tc>
          <w:tcPr>
            <w:tcW w:w="254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If the sale of Shares acquired under this Agreement is not</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registered under the Securities Act, but an exemption is available</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which  requires  an  investment  representation  or  other</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representation and warranty, the Participant shall represent and</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agree that the Shares being acquired are being acquired for</w:t>
            </w:r>
          </w:p>
        </w:tc>
      </w:tr>
      <w:tr>
        <w:trPr>
          <w:trHeight w:val="243"/>
        </w:trPr>
        <w:tc>
          <w:tcPr>
            <w:tcW w:w="2540" w:type="dxa"/>
            <w:vAlign w:val="bottom"/>
          </w:tcPr>
          <w:p>
            <w:pPr>
              <w:spacing w:after="0"/>
              <w:rPr>
                <w:sz w:val="21"/>
                <w:szCs w:val="21"/>
                <w:color w:val="auto"/>
              </w:rPr>
            </w:pPr>
          </w:p>
        </w:tc>
        <w:tc>
          <w:tcPr>
            <w:tcW w:w="60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9"/>
              </w:rPr>
              <w:t>investment, and not with a view to the sale or distribution thereof,</w:t>
            </w:r>
          </w:p>
        </w:tc>
      </w:tr>
      <w:tr>
        <w:trPr>
          <w:trHeight w:val="282"/>
        </w:trPr>
        <w:tc>
          <w:tcPr>
            <w:tcW w:w="254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and shall make such other representations and warranties as are</w:t>
            </w:r>
          </w:p>
        </w:tc>
      </w:tr>
      <w:tr>
        <w:trPr>
          <w:trHeight w:val="405"/>
        </w:trPr>
        <w:tc>
          <w:tcPr>
            <w:tcW w:w="2540" w:type="dxa"/>
            <w:vAlign w:val="bottom"/>
          </w:tcPr>
          <w:p>
            <w:pPr>
              <w:spacing w:after="0"/>
              <w:rPr>
                <w:sz w:val="24"/>
                <w:szCs w:val="24"/>
                <w:color w:val="auto"/>
              </w:rPr>
            </w:pPr>
          </w:p>
        </w:tc>
        <w:tc>
          <w:tcPr>
            <w:tcW w:w="60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37</w:t>
            </w:r>
          </w:p>
        </w:tc>
      </w:tr>
      <w:tr>
        <w:trPr>
          <w:trHeight w:val="791"/>
        </w:trPr>
        <w:tc>
          <w:tcPr>
            <w:tcW w:w="25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81" w:right="1440" w:bottom="1440" w:gutter="0" w:footer="0" w:header="0"/>
        </w:sectPr>
      </w:pPr>
    </w:p>
    <w:bookmarkStart w:id="170" w:name="page171"/>
    <w:bookmarkEnd w:id="17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520" w:type="dxa"/>
            <w:vAlign w:val="bottom"/>
          </w:tcPr>
          <w:p>
            <w:pPr>
              <w:spacing w:after="0"/>
              <w:rPr>
                <w:sz w:val="22"/>
                <w:szCs w:val="22"/>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deemed  necessary  or  appropriate  by  the  Company  and  its</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counsel.</w:t>
            </w:r>
          </w:p>
        </w:tc>
      </w:tr>
      <w:tr>
        <w:trPr>
          <w:trHeight w:val="447"/>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Participant may also be required, as a condition of the</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Award, to enter into any Company stockholder agreement or</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agreements that are applicable to stockholders.</w:t>
            </w:r>
          </w:p>
        </w:tc>
      </w:tr>
      <w:tr>
        <w:trPr>
          <w:trHeight w:val="447"/>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Clawback Policy</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Participant expressly acknowledges and agrees to be bound</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by  Paragraph  35  of  the  Plan,  which  contains  provisions</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addressing the Company’s policy on recoupment of equity or</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compensation.</w:t>
            </w:r>
          </w:p>
        </w:tc>
      </w:tr>
      <w:tr>
        <w:trPr>
          <w:trHeight w:val="447"/>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No Retention Rights</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Participant’s Award or this Agreement does not give the</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Participant the right to be retained by the Company (or any</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Affiliate) in any capacity. The Company (and its Affiliates)</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reserves the right to terminate the Participant’s Service at any</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time and for any reason.</w:t>
            </w:r>
          </w:p>
        </w:tc>
      </w:tr>
      <w:tr>
        <w:trPr>
          <w:trHeight w:val="447"/>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Adjustments</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 the event of a Corporate Transaction, the provisions of Plan</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Paragraph 25(b) shall apply as is to this Award. In addition, the</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provisions of Plan Paragraphs 25(a) and 25(c) shall also apply as</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is to this Award. The Award shall be subject to the terms of the</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agreement of merger, liquidation or reorganization in the event</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Company is subject to such corporate activity.</w:t>
            </w:r>
          </w:p>
        </w:tc>
      </w:tr>
      <w:tr>
        <w:trPr>
          <w:trHeight w:val="447"/>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Legends</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 certificates or book entries representing the Shares issued</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under this Award may, where applicable, have endorsed thereon</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any notation or legend the Company determines appropriate.</w:t>
            </w:r>
          </w:p>
        </w:tc>
      </w:tr>
      <w:tr>
        <w:trPr>
          <w:trHeight w:val="447"/>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Taxes and Withholding</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Participant will be solely responsible for payment of any and</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all applicable taxes, including without limitation any penalties or</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interest based upon such tax obligations, associated with this</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Award. The Participant will not be allowed to receive benefits</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from this Award unless acceptable arrangements are made to pay</w:t>
            </w:r>
          </w:p>
        </w:tc>
      </w:tr>
      <w:tr>
        <w:trPr>
          <w:trHeight w:val="243"/>
        </w:trPr>
        <w:tc>
          <w:tcPr>
            <w:tcW w:w="2520" w:type="dxa"/>
            <w:vAlign w:val="bottom"/>
          </w:tcPr>
          <w:p>
            <w:pPr>
              <w:spacing w:after="0"/>
              <w:rPr>
                <w:sz w:val="21"/>
                <w:szCs w:val="21"/>
                <w:color w:val="auto"/>
              </w:rPr>
            </w:pPr>
          </w:p>
        </w:tc>
        <w:tc>
          <w:tcPr>
            <w:tcW w:w="60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any withholding or other taxes that may be due as a result of the</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Award or sale of Shares acquired under this Award.</w:t>
            </w:r>
          </w:p>
        </w:tc>
      </w:tr>
      <w:tr>
        <w:trPr>
          <w:trHeight w:val="447"/>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Code Section 409A</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This Award will be administered and interpreted to be exempt</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from (or comply with) Code Section 409A.</w:t>
            </w:r>
          </w:p>
        </w:tc>
      </w:tr>
      <w:tr>
        <w:trPr>
          <w:trHeight w:val="443"/>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Legal Compliance with</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Company (and any Affiliate) is not responsible for the</w:t>
            </w:r>
          </w:p>
        </w:tc>
      </w:tr>
      <w:tr>
        <w:trPr>
          <w:trHeight w:val="247"/>
        </w:trPr>
        <w:tc>
          <w:tcPr>
            <w:tcW w:w="2520" w:type="dxa"/>
            <w:vAlign w:val="bottom"/>
          </w:tcPr>
          <w:p>
            <w:pPr>
              <w:ind w:left="80"/>
              <w:spacing w:after="0" w:line="247" w:lineRule="exact"/>
              <w:rPr>
                <w:sz w:val="20"/>
                <w:szCs w:val="20"/>
                <w:color w:val="auto"/>
              </w:rPr>
            </w:pPr>
            <w:r>
              <w:rPr>
                <w:rFonts w:ascii="Times New Roman" w:cs="Times New Roman" w:eastAsia="Times New Roman" w:hAnsi="Times New Roman"/>
                <w:sz w:val="22"/>
                <w:szCs w:val="22"/>
                <w:b w:val="1"/>
                <w:bCs w:val="1"/>
                <w:color w:val="auto"/>
              </w:rPr>
              <w:t>Law</w:t>
            </w:r>
          </w:p>
        </w:tc>
        <w:tc>
          <w:tcPr>
            <w:tcW w:w="6060" w:type="dxa"/>
            <w:vAlign w:val="bottom"/>
          </w:tcPr>
          <w:p>
            <w:pPr>
              <w:ind w:left="260"/>
              <w:spacing w:after="0" w:line="247" w:lineRule="exact"/>
              <w:rPr>
                <w:sz w:val="20"/>
                <w:szCs w:val="20"/>
                <w:color w:val="auto"/>
              </w:rPr>
            </w:pPr>
            <w:r>
              <w:rPr>
                <w:rFonts w:ascii="Times New Roman" w:cs="Times New Roman" w:eastAsia="Times New Roman" w:hAnsi="Times New Roman"/>
                <w:sz w:val="22"/>
                <w:szCs w:val="22"/>
                <w:color w:val="auto"/>
              </w:rPr>
              <w:t>Participant’s  legal  compliance  requirements  relating  to  this</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Award, including, but not limited to, tax reporting.</w:t>
            </w:r>
          </w:p>
        </w:tc>
      </w:tr>
      <w:tr>
        <w:trPr>
          <w:trHeight w:val="447"/>
        </w:trPr>
        <w:tc>
          <w:tcPr>
            <w:tcW w:w="2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Regulatory Compliance</w:t>
            </w: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issuance of Common Stock pursuant to this Agreement shall</w:t>
            </w:r>
          </w:p>
        </w:tc>
      </w:tr>
      <w:tr>
        <w:trPr>
          <w:trHeight w:val="282"/>
        </w:trPr>
        <w:tc>
          <w:tcPr>
            <w:tcW w:w="2520" w:type="dxa"/>
            <w:vAlign w:val="bottom"/>
          </w:tcPr>
          <w:p>
            <w:pPr>
              <w:spacing w:after="0"/>
              <w:rPr>
                <w:sz w:val="24"/>
                <w:szCs w:val="24"/>
                <w:color w:val="auto"/>
              </w:rPr>
            </w:pPr>
          </w:p>
        </w:tc>
        <w:tc>
          <w:tcPr>
            <w:tcW w:w="60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be subject to full compliance with all applicable requirements of</w:t>
            </w:r>
          </w:p>
        </w:tc>
      </w:tr>
      <w:tr>
        <w:trPr>
          <w:trHeight w:val="405"/>
        </w:trPr>
        <w:tc>
          <w:tcPr>
            <w:tcW w:w="2520" w:type="dxa"/>
            <w:vAlign w:val="bottom"/>
          </w:tcPr>
          <w:p>
            <w:pPr>
              <w:spacing w:after="0"/>
              <w:rPr>
                <w:sz w:val="24"/>
                <w:szCs w:val="24"/>
                <w:color w:val="auto"/>
              </w:rPr>
            </w:pPr>
          </w:p>
        </w:tc>
        <w:tc>
          <w:tcPr>
            <w:tcW w:w="606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38</w:t>
            </w:r>
          </w:p>
        </w:tc>
      </w:tr>
      <w:tr>
        <w:trPr>
          <w:trHeight w:val="791"/>
        </w:trPr>
        <w:tc>
          <w:tcPr>
            <w:tcW w:w="25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85" w:right="1440" w:bottom="1440" w:gutter="0" w:footer="0" w:header="0"/>
        </w:sectPr>
      </w:pPr>
    </w:p>
    <w:bookmarkStart w:id="171" w:name="page172"/>
    <w:bookmarkEnd w:id="17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65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law and the requirements of any stock exchange or interdealer</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9"/>
              </w:rPr>
              <w:t>quotation system upon which the Common Stock may be listed or</w:t>
            </w:r>
          </w:p>
        </w:tc>
      </w:tr>
      <w:tr>
        <w:trPr>
          <w:trHeight w:val="282"/>
        </w:trPr>
        <w:tc>
          <w:tcPr>
            <w:tcW w:w="2040" w:type="dxa"/>
            <w:vAlign w:val="bottom"/>
          </w:tcPr>
          <w:p>
            <w:pPr>
              <w:spacing w:after="0"/>
              <w:rPr>
                <w:sz w:val="24"/>
                <w:szCs w:val="24"/>
                <w:color w:val="auto"/>
              </w:rPr>
            </w:pPr>
          </w:p>
        </w:tc>
        <w:tc>
          <w:tcPr>
            <w:tcW w:w="65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traded.</w:t>
            </w:r>
          </w:p>
        </w:tc>
      </w:tr>
      <w:tr>
        <w:trPr>
          <w:trHeight w:val="447"/>
        </w:trPr>
        <w:tc>
          <w:tcPr>
            <w:tcW w:w="20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Data Privacy</w:t>
            </w:r>
          </w:p>
        </w:tc>
        <w:tc>
          <w:tcPr>
            <w:tcW w:w="65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The Participant hereby explicitly and unambiguously consents to</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the collection, use and transfer, in electronic or other form, of his</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or her personal data as described in this document by the</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Company  for  the  exclusive  purpose  of  implementing,</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administering and managing his or her participation in the Plan.</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The Participant understands that the Company holds certain</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personal information about him or her, including, but not limited</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to, name, home address and telephone number, date of birth,</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9"/>
              </w:rPr>
              <w:t>gender, social security or insurance number or other identification</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number, salary, nationality, job title, any shares of stock or</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directorships held in the Company, details of all awards or any</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other  entitlement  to  Shares  awarded,  cancelled,  purchased,</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exercised, vested, unvested or outstanding in the Participant’s</w:t>
            </w:r>
          </w:p>
        </w:tc>
      </w:tr>
      <w:tr>
        <w:trPr>
          <w:trHeight w:val="239"/>
        </w:trPr>
        <w:tc>
          <w:tcPr>
            <w:tcW w:w="2040" w:type="dxa"/>
            <w:vAlign w:val="bottom"/>
          </w:tcPr>
          <w:p>
            <w:pPr>
              <w:spacing w:after="0"/>
              <w:rPr>
                <w:sz w:val="20"/>
                <w:szCs w:val="20"/>
                <w:color w:val="auto"/>
              </w:rPr>
            </w:pPr>
          </w:p>
        </w:tc>
        <w:tc>
          <w:tcPr>
            <w:tcW w:w="6540" w:type="dxa"/>
            <w:vAlign w:val="bottom"/>
          </w:tcPr>
          <w:p>
            <w:pPr>
              <w:ind w:left="740"/>
              <w:spacing w:after="0" w:line="239" w:lineRule="exact"/>
              <w:rPr>
                <w:sz w:val="20"/>
                <w:szCs w:val="20"/>
                <w:color w:val="auto"/>
              </w:rPr>
            </w:pPr>
            <w:r>
              <w:rPr>
                <w:rFonts w:ascii="Times New Roman" w:cs="Times New Roman" w:eastAsia="Times New Roman" w:hAnsi="Times New Roman"/>
                <w:sz w:val="22"/>
                <w:szCs w:val="22"/>
                <w:color w:val="auto"/>
              </w:rPr>
              <w:t>favor  for  the  purpose  of  implementing,  managing  and</w:t>
            </w:r>
          </w:p>
        </w:tc>
      </w:tr>
      <w:tr>
        <w:trPr>
          <w:trHeight w:val="247"/>
        </w:trPr>
        <w:tc>
          <w:tcPr>
            <w:tcW w:w="2040" w:type="dxa"/>
            <w:vAlign w:val="bottom"/>
          </w:tcPr>
          <w:p>
            <w:pPr>
              <w:spacing w:after="0"/>
              <w:rPr>
                <w:sz w:val="21"/>
                <w:szCs w:val="21"/>
                <w:color w:val="auto"/>
              </w:rPr>
            </w:pPr>
          </w:p>
        </w:tc>
        <w:tc>
          <w:tcPr>
            <w:tcW w:w="6540" w:type="dxa"/>
            <w:vAlign w:val="bottom"/>
          </w:tcPr>
          <w:p>
            <w:pPr>
              <w:ind w:left="740"/>
              <w:spacing w:after="0" w:line="247" w:lineRule="exact"/>
              <w:rPr>
                <w:sz w:val="20"/>
                <w:szCs w:val="20"/>
                <w:color w:val="auto"/>
              </w:rPr>
            </w:pPr>
            <w:r>
              <w:rPr>
                <w:rFonts w:ascii="Times New Roman" w:cs="Times New Roman" w:eastAsia="Times New Roman" w:hAnsi="Times New Roman"/>
                <w:sz w:val="22"/>
                <w:szCs w:val="22"/>
                <w:color w:val="auto"/>
                <w:w w:val="99"/>
              </w:rPr>
              <w:t>administering the Plan (“</w:t>
            </w:r>
            <w:r>
              <w:rPr>
                <w:rFonts w:ascii="Times New Roman" w:cs="Times New Roman" w:eastAsia="Times New Roman" w:hAnsi="Times New Roman"/>
                <w:sz w:val="22"/>
                <w:szCs w:val="22"/>
                <w:b w:val="1"/>
                <w:bCs w:val="1"/>
                <w:color w:val="auto"/>
                <w:w w:val="99"/>
              </w:rPr>
              <w:t>Data</w:t>
            </w:r>
            <w:r>
              <w:rPr>
                <w:rFonts w:ascii="Times New Roman" w:cs="Times New Roman" w:eastAsia="Times New Roman" w:hAnsi="Times New Roman"/>
                <w:sz w:val="22"/>
                <w:szCs w:val="22"/>
                <w:color w:val="auto"/>
                <w:w w:val="99"/>
              </w:rPr>
              <w:t>”). The Participant understands that</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the Data may be transferred to any third parties assisting in the</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implementation, administration and management of the Plan, that</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these recipients may be located in his or her country or elsewhere</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and that the recipient country may have different data privacy</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laws and protections than his or her country. The Participant</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authorizes the recipients to receive, possess, use, retain and</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transfer the Data, in electronic or other form, for the purposes of</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implementing,  administering  and  managing  his  or  her</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participation in the Plan, including any requisite transfer of such</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Data, as may be required to a broker or other third party with</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whom the Participant may elect to deposit any Shares acquired</w:t>
            </w:r>
          </w:p>
        </w:tc>
      </w:tr>
      <w:tr>
        <w:trPr>
          <w:trHeight w:val="282"/>
        </w:trPr>
        <w:tc>
          <w:tcPr>
            <w:tcW w:w="2040" w:type="dxa"/>
            <w:vAlign w:val="bottom"/>
          </w:tcPr>
          <w:p>
            <w:pPr>
              <w:spacing w:after="0"/>
              <w:rPr>
                <w:sz w:val="24"/>
                <w:szCs w:val="24"/>
                <w:color w:val="auto"/>
              </w:rPr>
            </w:pPr>
          </w:p>
        </w:tc>
        <w:tc>
          <w:tcPr>
            <w:tcW w:w="65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under the Plan.</w:t>
            </w:r>
          </w:p>
        </w:tc>
      </w:tr>
      <w:tr>
        <w:trPr>
          <w:trHeight w:val="447"/>
        </w:trPr>
        <w:tc>
          <w:tcPr>
            <w:tcW w:w="20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Notice</w:t>
            </w:r>
          </w:p>
        </w:tc>
        <w:tc>
          <w:tcPr>
            <w:tcW w:w="65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Any notice to be given or delivered to the Company relating to</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this Agreement shall be in writing and addressed to the Company</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at its principal corporate offices. All notices shall be deemed</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effective upon personal delivery or upon deposit in the postal</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mail, postage prepaid and properly addressed to the Company.</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Any notice to be given or delivered to the Participant relating to</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this Agreement may be delivered by electronic form including</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without limitation by email (including prospectuses required by</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the Securities and Exchange Commission) as well as all other</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documents that the Company is required to deliver to its security</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holders (including annual reports and proxy statements). The</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9"/>
              </w:rPr>
              <w:t>Company may also deliver these documents by posting them on a</w:t>
            </w:r>
          </w:p>
        </w:tc>
      </w:tr>
      <w:tr>
        <w:trPr>
          <w:trHeight w:val="243"/>
        </w:trPr>
        <w:tc>
          <w:tcPr>
            <w:tcW w:w="2040" w:type="dxa"/>
            <w:vAlign w:val="bottom"/>
          </w:tcPr>
          <w:p>
            <w:pPr>
              <w:spacing w:after="0"/>
              <w:rPr>
                <w:sz w:val="21"/>
                <w:szCs w:val="21"/>
                <w:color w:val="auto"/>
              </w:rPr>
            </w:pPr>
          </w:p>
        </w:tc>
        <w:tc>
          <w:tcPr>
            <w:tcW w:w="65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web site maintained by the Company or by a third party under</w:t>
            </w:r>
          </w:p>
        </w:tc>
      </w:tr>
      <w:tr>
        <w:trPr>
          <w:trHeight w:val="282"/>
        </w:trPr>
        <w:tc>
          <w:tcPr>
            <w:tcW w:w="2040" w:type="dxa"/>
            <w:vAlign w:val="bottom"/>
          </w:tcPr>
          <w:p>
            <w:pPr>
              <w:spacing w:after="0"/>
              <w:rPr>
                <w:sz w:val="24"/>
                <w:szCs w:val="24"/>
                <w:color w:val="auto"/>
              </w:rPr>
            </w:pPr>
          </w:p>
        </w:tc>
        <w:tc>
          <w:tcPr>
            <w:tcW w:w="65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contract with the Company.</w:t>
            </w:r>
          </w:p>
        </w:tc>
      </w:tr>
      <w:tr>
        <w:trPr>
          <w:trHeight w:val="405"/>
        </w:trPr>
        <w:tc>
          <w:tcPr>
            <w:tcW w:w="2040" w:type="dxa"/>
            <w:vAlign w:val="bottom"/>
          </w:tcPr>
          <w:p>
            <w:pPr>
              <w:spacing w:after="0"/>
              <w:rPr>
                <w:sz w:val="24"/>
                <w:szCs w:val="24"/>
                <w:color w:val="auto"/>
              </w:rPr>
            </w:pPr>
          </w:p>
        </w:tc>
        <w:tc>
          <w:tcPr>
            <w:tcW w:w="6540" w:type="dxa"/>
            <w:vAlign w:val="bottom"/>
          </w:tcPr>
          <w:p>
            <w:pPr>
              <w:ind w:left="2140"/>
              <w:spacing w:after="0"/>
              <w:rPr>
                <w:sz w:val="20"/>
                <w:szCs w:val="20"/>
                <w:color w:val="auto"/>
              </w:rPr>
            </w:pPr>
            <w:r>
              <w:rPr>
                <w:rFonts w:ascii="Times New Roman" w:cs="Times New Roman" w:eastAsia="Times New Roman" w:hAnsi="Times New Roman"/>
                <w:sz w:val="22"/>
                <w:szCs w:val="22"/>
                <w:color w:val="auto"/>
              </w:rPr>
              <w:t>39</w:t>
            </w:r>
          </w:p>
        </w:tc>
      </w:tr>
      <w:tr>
        <w:trPr>
          <w:trHeight w:val="791"/>
        </w:trPr>
        <w:tc>
          <w:tcPr>
            <w:tcW w:w="20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85" w:right="1440" w:bottom="1440" w:gutter="0" w:footer="0" w:header="0"/>
        </w:sectPr>
      </w:pPr>
    </w:p>
    <w:bookmarkStart w:id="172" w:name="page173"/>
    <w:bookmarkEnd w:id="17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Other Information</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Participant  agrees  to  receive  stockholder  information,</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including copies of any annual report, proxy statement and</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periodic report, from the Company’s website, if the Company</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wishes to provide such information through its website. The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Participant  acknowledges  that  copies  of  the  Plan,  Plan</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prospectus, Plan information and stockholder information are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also  available  upon  written  or  telephonic  request  to  the</w:t>
            </w: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Administrator.</w:t>
            </w:r>
          </w:p>
        </w:tc>
      </w:tr>
      <w:tr>
        <w:trPr>
          <w:trHeight w:val="447"/>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Further Assistance</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9"/>
              </w:rPr>
              <w:t>The Participant agrees to provide assistance (either before or after</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termination of Service) reasonably requested by the Company in</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connection with actions taken by the Participant while providing</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Services to the Company, including but not limited to assistance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 connection with any lawsuits or other claims against the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Company arising from events during the period in which the</w:t>
            </w: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Participant rendered Service.</w:t>
            </w:r>
          </w:p>
        </w:tc>
      </w:tr>
      <w:tr>
        <w:trPr>
          <w:trHeight w:val="447"/>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Additional Conditions</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If the Company shall determine, in its sole discretion, that the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consent or approval of any governmental authority is necessary or</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desirable as a condition to the payment of benefits to the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Participant pursuant to the Plan, such payment shall not occur</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until such registration, qualification, consent or approval shall</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have  been  effected  or  obtained  free  of  any  conditions  not</w:t>
            </w: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acceptable to the Company.</w:t>
            </w:r>
          </w:p>
        </w:tc>
      </w:tr>
      <w:tr>
        <w:trPr>
          <w:trHeight w:val="447"/>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Enforcement</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Company will be entitled to enforce its rights under this</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Agreement specifically, to recover damages by reason of any</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breach of any provision of this Agreement and to exercise all</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other rights to which it may be entitled. The Participant agrees</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and acknowledges that money damages may not be an adequate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remedy for breach of the provisions of this Agreement and that</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the Company may in its sole discretion apply to any court of law</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or equity of competent jurisdiction for specific performance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and/or injunctive relief in order to enforce or prevent any</w:t>
            </w: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violations of the provisions of this Agreement.</w:t>
            </w:r>
          </w:p>
        </w:tc>
      </w:tr>
      <w:tr>
        <w:trPr>
          <w:trHeight w:val="443"/>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Nondisclosure of</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Participant  acknowledges  that  the  businesses  of  the</w:t>
            </w:r>
          </w:p>
        </w:tc>
      </w:tr>
      <w:tr>
        <w:trPr>
          <w:trHeight w:val="247"/>
        </w:trPr>
        <w:tc>
          <w:tcPr>
            <w:tcW w:w="2600" w:type="dxa"/>
            <w:vAlign w:val="bottom"/>
          </w:tcPr>
          <w:p>
            <w:pPr>
              <w:ind w:left="80"/>
              <w:spacing w:after="0" w:line="247" w:lineRule="exact"/>
              <w:rPr>
                <w:sz w:val="20"/>
                <w:szCs w:val="20"/>
                <w:color w:val="auto"/>
              </w:rPr>
            </w:pPr>
            <w:r>
              <w:rPr>
                <w:rFonts w:ascii="Times New Roman" w:cs="Times New Roman" w:eastAsia="Times New Roman" w:hAnsi="Times New Roman"/>
                <w:sz w:val="22"/>
                <w:szCs w:val="22"/>
                <w:b w:val="1"/>
                <w:bCs w:val="1"/>
                <w:color w:val="auto"/>
              </w:rPr>
              <w:t>Confidential Information</w:t>
            </w:r>
          </w:p>
        </w:tc>
        <w:tc>
          <w:tcPr>
            <w:tcW w:w="5980" w:type="dxa"/>
            <w:vAlign w:val="bottom"/>
          </w:tcPr>
          <w:p>
            <w:pPr>
              <w:ind w:left="180"/>
              <w:spacing w:after="0" w:line="247" w:lineRule="exact"/>
              <w:rPr>
                <w:sz w:val="20"/>
                <w:szCs w:val="20"/>
                <w:color w:val="auto"/>
              </w:rPr>
            </w:pPr>
            <w:r>
              <w:rPr>
                <w:rFonts w:ascii="Times New Roman" w:cs="Times New Roman" w:eastAsia="Times New Roman" w:hAnsi="Times New Roman"/>
                <w:sz w:val="22"/>
                <w:szCs w:val="22"/>
                <w:color w:val="auto"/>
              </w:rPr>
              <w:t>Company  are  highly  competitive  and  that  the  Company’s</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strategies, methods, books, records, and documents, technical</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information concerning their products, equipment, services, and</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processes, procurement procedures and pricing techniques, the</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names of and other information (such as credit and financial data)</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concerning former, present or prospective customers and business</w:t>
            </w: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affiliates, all comprise confidential business information and</w:t>
            </w: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trade secrets which are valuable, special, and unique assets</w:t>
            </w:r>
          </w:p>
        </w:tc>
      </w:tr>
      <w:tr>
        <w:trPr>
          <w:trHeight w:val="405"/>
        </w:trPr>
        <w:tc>
          <w:tcPr>
            <w:tcW w:w="2600" w:type="dxa"/>
            <w:vAlign w:val="bottom"/>
          </w:tcPr>
          <w:p>
            <w:pPr>
              <w:spacing w:after="0"/>
              <w:rPr>
                <w:sz w:val="24"/>
                <w:szCs w:val="24"/>
                <w:color w:val="auto"/>
              </w:rPr>
            </w:pPr>
          </w:p>
        </w:tc>
        <w:tc>
          <w:tcPr>
            <w:tcW w:w="598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40</w:t>
            </w:r>
          </w:p>
        </w:tc>
      </w:tr>
      <w:tr>
        <w:trPr>
          <w:trHeight w:val="791"/>
        </w:trPr>
        <w:tc>
          <w:tcPr>
            <w:tcW w:w="26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8" w:right="1440" w:bottom="1440" w:gutter="0" w:footer="0" w:header="0"/>
        </w:sectPr>
      </w:pPr>
    </w:p>
    <w:bookmarkStart w:id="173" w:name="page174"/>
    <w:bookmarkEnd w:id="17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160" w:type="dxa"/>
            <w:vAlign w:val="bottom"/>
          </w:tcPr>
          <w:p>
            <w:pPr>
              <w:spacing w:after="0"/>
              <w:rPr>
                <w:sz w:val="22"/>
                <w:szCs w:val="22"/>
                <w:color w:val="auto"/>
              </w:rPr>
            </w:pPr>
          </w:p>
        </w:tc>
        <w:tc>
          <w:tcPr>
            <w:tcW w:w="64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which the Company uses in their business to obtain a competitive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advantage   over   competitors.   The   Participant   further</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acknowledges  that  protection  of  such  confidential  business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information and trade secrets against unauthorized disclosure and</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use is of critical importance to the Company in maintaining its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competitive  position.  The  Participant  acknowledges  that  by</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reason of the Participant’s duties to and association with the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Company, the Participant has had and will have access to and</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have  and  will  become  informed  of  confidential  business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information which is a competitive asset of the Company. The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Participant hereby agrees that he or she will not, at any time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during or after employment, make any unauthorized disclosure of</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any confidential business information or trade secrets of the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Company, or make any use thereof, except in the carrying out of</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services responsibilities. The Participant shall take all necessary</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and  appropriate  steps  to  safeguard  confidential  business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information and protect it against disclosure, misappropriation,</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9"/>
              </w:rPr>
              <w:t>misuse, loss and theft. Confidential business information shall not</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include information in the public domain (but only if the same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becomes part of the public domain through a means other than a</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disclosure prohibited hereunder). The above notwithstanding, a</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disclosure shall not be unauthorized if (i) it is required by law or</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9"/>
              </w:rPr>
              <w:t>by a court of competent jurisdiction or (ii) it is in connection with</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any  judicial,  arbitration,  dispute  resolution  or  other  legal</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proceeding in which the Participant’s legal rights and obligations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as a Service provider or under this Agreement are at issue;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provided,  however,  that  the  Participant  shall,  to  the  extent</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practicable and lawful in any such events, give prior notice to the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Company of his or her intent to disclose any such confidential</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business information in such context so as to allow the Company</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an opportunity (which the Participant will not oppose) to obtain</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such protective orders or similar relief with respect thereto as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may be deemed appropriate. In the event of any conflict in terms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between  this  Section  and  the  terms  of  any  Company</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confidentiality  or  proprietary  information  agreement  the</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Participant has executed, the terms of such other confidentiality</w:t>
            </w:r>
          </w:p>
        </w:tc>
      </w:tr>
      <w:tr>
        <w:trPr>
          <w:trHeight w:val="282"/>
        </w:trPr>
        <w:tc>
          <w:tcPr>
            <w:tcW w:w="2160" w:type="dxa"/>
            <w:vAlign w:val="bottom"/>
          </w:tcPr>
          <w:p>
            <w:pPr>
              <w:spacing w:after="0"/>
              <w:rPr>
                <w:sz w:val="24"/>
                <w:szCs w:val="24"/>
                <w:color w:val="auto"/>
              </w:rPr>
            </w:pPr>
          </w:p>
        </w:tc>
        <w:tc>
          <w:tcPr>
            <w:tcW w:w="64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or proprietary information agreement shall prevail and govern.</w:t>
            </w:r>
          </w:p>
        </w:tc>
      </w:tr>
      <w:tr>
        <w:trPr>
          <w:trHeight w:val="447"/>
        </w:trPr>
        <w:tc>
          <w:tcPr>
            <w:tcW w:w="21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Applicable Law</w:t>
            </w:r>
          </w:p>
        </w:tc>
        <w:tc>
          <w:tcPr>
            <w:tcW w:w="64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This Agreement will be interpreted and enforced under the laws</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of the State of Delaware without reference to the conflicts of law</w:t>
            </w:r>
          </w:p>
        </w:tc>
      </w:tr>
      <w:tr>
        <w:trPr>
          <w:trHeight w:val="282"/>
        </w:trPr>
        <w:tc>
          <w:tcPr>
            <w:tcW w:w="2160" w:type="dxa"/>
            <w:vAlign w:val="bottom"/>
          </w:tcPr>
          <w:p>
            <w:pPr>
              <w:spacing w:after="0"/>
              <w:rPr>
                <w:sz w:val="24"/>
                <w:szCs w:val="24"/>
                <w:color w:val="auto"/>
              </w:rPr>
            </w:pPr>
          </w:p>
        </w:tc>
        <w:tc>
          <w:tcPr>
            <w:tcW w:w="64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provisions thereof.</w:t>
            </w:r>
          </w:p>
        </w:tc>
      </w:tr>
      <w:tr>
        <w:trPr>
          <w:trHeight w:val="447"/>
        </w:trPr>
        <w:tc>
          <w:tcPr>
            <w:tcW w:w="21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Interpretation</w:t>
            </w:r>
          </w:p>
        </w:tc>
        <w:tc>
          <w:tcPr>
            <w:tcW w:w="64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Any dispute regarding the interpretation of this Agreement shall</w:t>
            </w:r>
          </w:p>
        </w:tc>
      </w:tr>
      <w:tr>
        <w:trPr>
          <w:trHeight w:val="243"/>
        </w:trPr>
        <w:tc>
          <w:tcPr>
            <w:tcW w:w="2160" w:type="dxa"/>
            <w:vAlign w:val="bottom"/>
          </w:tcPr>
          <w:p>
            <w:pPr>
              <w:spacing w:after="0"/>
              <w:rPr>
                <w:sz w:val="21"/>
                <w:szCs w:val="21"/>
                <w:color w:val="auto"/>
              </w:rPr>
            </w:pPr>
          </w:p>
        </w:tc>
        <w:tc>
          <w:tcPr>
            <w:tcW w:w="64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be  submitted  by  the  Participant  or  the  Company  to  the</w:t>
            </w:r>
          </w:p>
        </w:tc>
      </w:tr>
      <w:tr>
        <w:trPr>
          <w:trHeight w:val="282"/>
        </w:trPr>
        <w:tc>
          <w:tcPr>
            <w:tcW w:w="2160" w:type="dxa"/>
            <w:vAlign w:val="bottom"/>
          </w:tcPr>
          <w:p>
            <w:pPr>
              <w:spacing w:after="0"/>
              <w:rPr>
                <w:sz w:val="24"/>
                <w:szCs w:val="24"/>
                <w:color w:val="auto"/>
              </w:rPr>
            </w:pPr>
          </w:p>
        </w:tc>
        <w:tc>
          <w:tcPr>
            <w:tcW w:w="64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Administrator for review. The resolution of such dispute by the</w:t>
            </w:r>
          </w:p>
        </w:tc>
      </w:tr>
      <w:tr>
        <w:trPr>
          <w:trHeight w:val="405"/>
        </w:trPr>
        <w:tc>
          <w:tcPr>
            <w:tcW w:w="2160" w:type="dxa"/>
            <w:vAlign w:val="bottom"/>
          </w:tcPr>
          <w:p>
            <w:pPr>
              <w:spacing w:after="0"/>
              <w:rPr>
                <w:sz w:val="24"/>
                <w:szCs w:val="24"/>
                <w:color w:val="auto"/>
              </w:rPr>
            </w:pPr>
          </w:p>
        </w:tc>
        <w:tc>
          <w:tcPr>
            <w:tcW w:w="6420" w:type="dxa"/>
            <w:vAlign w:val="bottom"/>
          </w:tcPr>
          <w:p>
            <w:pPr>
              <w:ind w:left="2020"/>
              <w:spacing w:after="0"/>
              <w:rPr>
                <w:sz w:val="20"/>
                <w:szCs w:val="20"/>
                <w:color w:val="auto"/>
              </w:rPr>
            </w:pPr>
            <w:r>
              <w:rPr>
                <w:rFonts w:ascii="Times New Roman" w:cs="Times New Roman" w:eastAsia="Times New Roman" w:hAnsi="Times New Roman"/>
                <w:sz w:val="22"/>
                <w:szCs w:val="22"/>
                <w:color w:val="auto"/>
              </w:rPr>
              <w:t>41</w:t>
            </w:r>
          </w:p>
        </w:tc>
      </w:tr>
      <w:tr>
        <w:trPr>
          <w:trHeight w:val="791"/>
        </w:trPr>
        <w:tc>
          <w:tcPr>
            <w:tcW w:w="21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85" w:right="1440" w:bottom="1440" w:gutter="0" w:footer="0" w:header="0"/>
        </w:sectPr>
      </w:pPr>
    </w:p>
    <w:bookmarkStart w:id="174" w:name="page175"/>
    <w:bookmarkEnd w:id="174"/>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600" w:type="dxa"/>
            <w:vAlign w:val="bottom"/>
          </w:tcPr>
          <w:p>
            <w:pPr>
              <w:spacing w:after="0"/>
              <w:rPr>
                <w:sz w:val="22"/>
                <w:szCs w:val="22"/>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Administrator shall be final and binding on the Participant and</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Company.</w:t>
            </w:r>
          </w:p>
        </w:tc>
        <w:tc>
          <w:tcPr>
            <w:tcW w:w="0" w:type="dxa"/>
            <w:vAlign w:val="bottom"/>
          </w:tcPr>
          <w:p>
            <w:pPr>
              <w:spacing w:after="0"/>
              <w:rPr>
                <w:sz w:val="1"/>
                <w:szCs w:val="1"/>
                <w:color w:val="auto"/>
              </w:rPr>
            </w:pPr>
          </w:p>
        </w:tc>
      </w:tr>
      <w:tr>
        <w:trPr>
          <w:trHeight w:val="447"/>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Award is subject to Plan</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This Award and this Agreement is subject to the Plan. The terms</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and provisions of the Plan as it may be amended from time to</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time are hereby incorporated herein by reference. In the event of</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 conflict between any term or provision contained herein and a</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term or provision of the Plan, the applicable terms and provisions</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of the Plan shall govern and prevail.</w:t>
            </w:r>
          </w:p>
        </w:tc>
        <w:tc>
          <w:tcPr>
            <w:tcW w:w="0" w:type="dxa"/>
            <w:vAlign w:val="bottom"/>
          </w:tcPr>
          <w:p>
            <w:pPr>
              <w:spacing w:after="0"/>
              <w:rPr>
                <w:sz w:val="1"/>
                <w:szCs w:val="1"/>
                <w:color w:val="auto"/>
              </w:rPr>
            </w:pPr>
          </w:p>
        </w:tc>
      </w:tr>
      <w:tr>
        <w:trPr>
          <w:trHeight w:val="443"/>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Binding Effect; No Third</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This Agreement shall be binding upon and inure to the benefit of</w:t>
            </w:r>
          </w:p>
        </w:tc>
        <w:tc>
          <w:tcPr>
            <w:tcW w:w="0" w:type="dxa"/>
            <w:vAlign w:val="bottom"/>
          </w:tcPr>
          <w:p>
            <w:pPr>
              <w:spacing w:after="0"/>
              <w:rPr>
                <w:sz w:val="1"/>
                <w:szCs w:val="1"/>
                <w:color w:val="auto"/>
              </w:rPr>
            </w:pPr>
          </w:p>
        </w:tc>
      </w:tr>
      <w:tr>
        <w:trPr>
          <w:trHeight w:val="247"/>
        </w:trPr>
        <w:tc>
          <w:tcPr>
            <w:tcW w:w="2600" w:type="dxa"/>
            <w:vAlign w:val="bottom"/>
          </w:tcPr>
          <w:p>
            <w:pPr>
              <w:ind w:left="80"/>
              <w:spacing w:after="0" w:line="247" w:lineRule="exact"/>
              <w:rPr>
                <w:sz w:val="20"/>
                <w:szCs w:val="20"/>
                <w:color w:val="auto"/>
              </w:rPr>
            </w:pPr>
            <w:r>
              <w:rPr>
                <w:rFonts w:ascii="Times New Roman" w:cs="Times New Roman" w:eastAsia="Times New Roman" w:hAnsi="Times New Roman"/>
                <w:sz w:val="22"/>
                <w:szCs w:val="22"/>
                <w:b w:val="1"/>
                <w:bCs w:val="1"/>
                <w:color w:val="auto"/>
              </w:rPr>
              <w:t>Party Beneficiaries</w:t>
            </w:r>
          </w:p>
        </w:tc>
        <w:tc>
          <w:tcPr>
            <w:tcW w:w="5980" w:type="dxa"/>
            <w:vAlign w:val="bottom"/>
          </w:tcPr>
          <w:p>
            <w:pPr>
              <w:ind w:left="180"/>
              <w:spacing w:after="0" w:line="247" w:lineRule="exact"/>
              <w:rPr>
                <w:sz w:val="20"/>
                <w:szCs w:val="20"/>
                <w:color w:val="auto"/>
              </w:rPr>
            </w:pPr>
            <w:r>
              <w:rPr>
                <w:rFonts w:ascii="Times New Roman" w:cs="Times New Roman" w:eastAsia="Times New Roman" w:hAnsi="Times New Roman"/>
                <w:sz w:val="22"/>
                <w:szCs w:val="22"/>
                <w:color w:val="auto"/>
              </w:rPr>
              <w:t>the Company and the Participant and any respective heirs,</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representatives,  successors  and  permitted  assigns.  This</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Agreement shall not confer any rights or remedies upon any</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person other than the Company and the Participant and any</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respective  heirs,  representatives,  successors  and  permitted</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assigns. The parties agree that this Agreement shall survive the</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settlement or termination of the Award. The Company may assign</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any of its rights under this Agreement.</w:t>
            </w:r>
          </w:p>
        </w:tc>
        <w:tc>
          <w:tcPr>
            <w:tcW w:w="0" w:type="dxa"/>
            <w:vAlign w:val="bottom"/>
          </w:tcPr>
          <w:p>
            <w:pPr>
              <w:spacing w:after="0"/>
              <w:rPr>
                <w:sz w:val="1"/>
                <w:szCs w:val="1"/>
                <w:color w:val="auto"/>
              </w:rPr>
            </w:pPr>
          </w:p>
        </w:tc>
      </w:tr>
      <w:tr>
        <w:trPr>
          <w:trHeight w:val="447"/>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Severability</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invalidity or unenforceability of any provision of the Plan or</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this Agreement shall not affect the validity or enforceability of</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any other provision of the Plan or this Agreement, and each</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provision of the Plan and this Agreement shall be severable and</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enforceable to the extent permitted by law.</w:t>
            </w:r>
          </w:p>
        </w:tc>
        <w:tc>
          <w:tcPr>
            <w:tcW w:w="0" w:type="dxa"/>
            <w:vAlign w:val="bottom"/>
          </w:tcPr>
          <w:p>
            <w:pPr>
              <w:spacing w:after="0"/>
              <w:rPr>
                <w:sz w:val="1"/>
                <w:szCs w:val="1"/>
                <w:color w:val="auto"/>
              </w:rPr>
            </w:pPr>
          </w:p>
        </w:tc>
      </w:tr>
      <w:tr>
        <w:trPr>
          <w:trHeight w:val="443"/>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Voluntary Participant</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You acknowledge that you are voluntarily participating in the</w:t>
            </w:r>
          </w:p>
        </w:tc>
        <w:tc>
          <w:tcPr>
            <w:tcW w:w="0" w:type="dxa"/>
            <w:vAlign w:val="bottom"/>
          </w:tcPr>
          <w:p>
            <w:pPr>
              <w:spacing w:after="0"/>
              <w:rPr>
                <w:sz w:val="1"/>
                <w:szCs w:val="1"/>
                <w:color w:val="auto"/>
              </w:rPr>
            </w:pPr>
          </w:p>
        </w:tc>
      </w:tr>
      <w:tr>
        <w:trPr>
          <w:trHeight w:val="243"/>
        </w:trPr>
        <w:tc>
          <w:tcPr>
            <w:tcW w:w="26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No Rights to Future</w:t>
            </w: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Plan.</w:t>
            </w:r>
          </w:p>
        </w:tc>
        <w:tc>
          <w:tcPr>
            <w:tcW w:w="0" w:type="dxa"/>
            <w:vAlign w:val="bottom"/>
          </w:tcPr>
          <w:p>
            <w:pPr>
              <w:spacing w:after="0"/>
              <w:rPr>
                <w:sz w:val="1"/>
                <w:szCs w:val="1"/>
                <w:color w:val="auto"/>
              </w:rPr>
            </w:pPr>
          </w:p>
        </w:tc>
      </w:tr>
      <w:tr>
        <w:trPr>
          <w:trHeight w:val="286"/>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Awards</w:t>
            </w:r>
          </w:p>
        </w:tc>
        <w:tc>
          <w:tcPr>
            <w:tcW w:w="5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Your rights, if any, in respect of or in connection with this Award</w:t>
            </w:r>
          </w:p>
        </w:tc>
        <w:tc>
          <w:tcPr>
            <w:tcW w:w="0" w:type="dxa"/>
            <w:vAlign w:val="bottom"/>
          </w:tcPr>
          <w:p>
            <w:pPr>
              <w:spacing w:after="0"/>
              <w:rPr>
                <w:sz w:val="1"/>
                <w:szCs w:val="1"/>
                <w:color w:val="auto"/>
              </w:rPr>
            </w:pPr>
          </w:p>
        </w:tc>
      </w:tr>
      <w:tr>
        <w:trPr>
          <w:trHeight w:val="204"/>
        </w:trPr>
        <w:tc>
          <w:tcPr>
            <w:tcW w:w="2600" w:type="dxa"/>
            <w:vAlign w:val="bottom"/>
          </w:tcPr>
          <w:p>
            <w:pPr>
              <w:spacing w:after="0"/>
              <w:rPr>
                <w:sz w:val="17"/>
                <w:szCs w:val="17"/>
                <w:color w:val="auto"/>
              </w:rPr>
            </w:pPr>
          </w:p>
        </w:tc>
        <w:tc>
          <w:tcPr>
            <w:tcW w:w="5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or any other awards are derived solely from the discretionary</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decision of the Company to permit you to participate in the Plan</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and to benefit from a discretionary future award. By accepting</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this Award, you expressly acknowledge that there is no obligation</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on the part of the Company to continue the Plan and/or grant any</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additional awards to you or benefits in lieu of other awards even</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if awards have been granted repeatedly in the past. All decisions</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with respect to future awards, if any, will be at the sole discretion</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of the Administrator.</w:t>
            </w:r>
          </w:p>
        </w:tc>
        <w:tc>
          <w:tcPr>
            <w:tcW w:w="0" w:type="dxa"/>
            <w:vAlign w:val="bottom"/>
          </w:tcPr>
          <w:p>
            <w:pPr>
              <w:spacing w:after="0"/>
              <w:rPr>
                <w:sz w:val="1"/>
                <w:szCs w:val="1"/>
                <w:color w:val="auto"/>
              </w:rPr>
            </w:pPr>
          </w:p>
        </w:tc>
      </w:tr>
      <w:tr>
        <w:trPr>
          <w:trHeight w:val="447"/>
        </w:trPr>
        <w:tc>
          <w:tcPr>
            <w:tcW w:w="26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No Right to Damages</w:t>
            </w: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You will have no right to bring a claim or to receive damages if</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any portion of the Award is cancelled or expires. The loss of</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existing or potential profit in the Award will not constitute an</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element of damages in the event of the termination of your</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1"/>
                <w:szCs w:val="21"/>
                <w:color w:val="auto"/>
              </w:rPr>
            </w:pPr>
          </w:p>
        </w:tc>
        <w:tc>
          <w:tcPr>
            <w:tcW w:w="59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Service for any reason, even if the termination is in violation of</w:t>
            </w:r>
          </w:p>
        </w:tc>
        <w:tc>
          <w:tcPr>
            <w:tcW w:w="0" w:type="dxa"/>
            <w:vAlign w:val="bottom"/>
          </w:tcPr>
          <w:p>
            <w:pPr>
              <w:spacing w:after="0"/>
              <w:rPr>
                <w:sz w:val="1"/>
                <w:szCs w:val="1"/>
                <w:color w:val="auto"/>
              </w:rPr>
            </w:pPr>
          </w:p>
        </w:tc>
      </w:tr>
      <w:tr>
        <w:trPr>
          <w:trHeight w:val="282"/>
        </w:trPr>
        <w:tc>
          <w:tcPr>
            <w:tcW w:w="2600" w:type="dxa"/>
            <w:vAlign w:val="bottom"/>
          </w:tcPr>
          <w:p>
            <w:pPr>
              <w:spacing w:after="0"/>
              <w:rPr>
                <w:sz w:val="24"/>
                <w:szCs w:val="24"/>
                <w:color w:val="auto"/>
              </w:rPr>
            </w:pPr>
          </w:p>
        </w:tc>
        <w:tc>
          <w:tcPr>
            <w:tcW w:w="59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 obligation of the Company or an Affiliate to you.</w:t>
            </w:r>
          </w:p>
        </w:tc>
        <w:tc>
          <w:tcPr>
            <w:tcW w:w="0" w:type="dxa"/>
            <w:vAlign w:val="bottom"/>
          </w:tcPr>
          <w:p>
            <w:pPr>
              <w:spacing w:after="0"/>
              <w:rPr>
                <w:sz w:val="1"/>
                <w:szCs w:val="1"/>
                <w:color w:val="auto"/>
              </w:rPr>
            </w:pPr>
          </w:p>
        </w:tc>
      </w:tr>
      <w:tr>
        <w:trPr>
          <w:trHeight w:val="405"/>
        </w:trPr>
        <w:tc>
          <w:tcPr>
            <w:tcW w:w="2600" w:type="dxa"/>
            <w:vAlign w:val="bottom"/>
          </w:tcPr>
          <w:p>
            <w:pPr>
              <w:spacing w:after="0"/>
              <w:rPr>
                <w:sz w:val="24"/>
                <w:szCs w:val="24"/>
                <w:color w:val="auto"/>
              </w:rPr>
            </w:pPr>
          </w:p>
        </w:tc>
        <w:tc>
          <w:tcPr>
            <w:tcW w:w="598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791"/>
        </w:trPr>
        <w:tc>
          <w:tcPr>
            <w:tcW w:w="26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85" w:right="1440" w:bottom="1440" w:gutter="0" w:footer="0" w:header="0"/>
        </w:sectPr>
      </w:pPr>
    </w:p>
    <w:bookmarkStart w:id="175" w:name="page176"/>
    <w:bookmarkEnd w:id="17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24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Future Value</w:t>
            </w: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The future value of the underlying Shares is unknown and cannot</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be predicted with certainty. If the underlying Shares do not</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increase in value after the Date of Award, the Award could have</w:t>
            </w:r>
          </w:p>
        </w:tc>
      </w:tr>
      <w:tr>
        <w:trPr>
          <w:trHeight w:val="282"/>
        </w:trPr>
        <w:tc>
          <w:tcPr>
            <w:tcW w:w="242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little or no value.</w:t>
            </w:r>
          </w:p>
        </w:tc>
      </w:tr>
      <w:tr>
        <w:trPr>
          <w:trHeight w:val="447"/>
        </w:trPr>
        <w:tc>
          <w:tcPr>
            <w:tcW w:w="24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Amendment</w:t>
            </w: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The  Administrator  has  the  right  to  amend,  alter,  suspend,</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discontinue, or cancel the Award, prospectively or retroactively;</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9"/>
              </w:rPr>
              <w:t>provided, that, no such amendment or other action shall adversely</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affect the Participant’s material rights under this Agreement</w:t>
            </w:r>
          </w:p>
        </w:tc>
      </w:tr>
      <w:tr>
        <w:trPr>
          <w:trHeight w:val="282"/>
        </w:trPr>
        <w:tc>
          <w:tcPr>
            <w:tcW w:w="242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without the Participant’s consent.</w:t>
            </w:r>
          </w:p>
        </w:tc>
      </w:tr>
      <w:tr>
        <w:trPr>
          <w:trHeight w:val="443"/>
        </w:trPr>
        <w:tc>
          <w:tcPr>
            <w:tcW w:w="24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Extraordinary</w:t>
            </w: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The Award and the Shares subject to the Award are not intended</w:t>
            </w:r>
          </w:p>
        </w:tc>
      </w:tr>
      <w:tr>
        <w:trPr>
          <w:trHeight w:val="247"/>
        </w:trPr>
        <w:tc>
          <w:tcPr>
            <w:tcW w:w="2420" w:type="dxa"/>
            <w:vAlign w:val="bottom"/>
          </w:tcPr>
          <w:p>
            <w:pPr>
              <w:ind w:left="80"/>
              <w:spacing w:after="0" w:line="247" w:lineRule="exact"/>
              <w:rPr>
                <w:sz w:val="20"/>
                <w:szCs w:val="20"/>
                <w:color w:val="auto"/>
              </w:rPr>
            </w:pPr>
            <w:r>
              <w:rPr>
                <w:rFonts w:ascii="Times New Roman" w:cs="Times New Roman" w:eastAsia="Times New Roman" w:hAnsi="Times New Roman"/>
                <w:sz w:val="22"/>
                <w:szCs w:val="22"/>
                <w:b w:val="1"/>
                <w:bCs w:val="1"/>
                <w:color w:val="auto"/>
              </w:rPr>
              <w:t>Compensation</w:t>
            </w:r>
          </w:p>
        </w:tc>
        <w:tc>
          <w:tcPr>
            <w:tcW w:w="6160" w:type="dxa"/>
            <w:vAlign w:val="bottom"/>
          </w:tcPr>
          <w:p>
            <w:pPr>
              <w:ind w:left="360"/>
              <w:spacing w:after="0" w:line="247" w:lineRule="exact"/>
              <w:rPr>
                <w:sz w:val="20"/>
                <w:szCs w:val="20"/>
                <w:color w:val="auto"/>
              </w:rPr>
            </w:pPr>
            <w:r>
              <w:rPr>
                <w:rFonts w:ascii="Times New Roman" w:cs="Times New Roman" w:eastAsia="Times New Roman" w:hAnsi="Times New Roman"/>
                <w:sz w:val="22"/>
                <w:szCs w:val="22"/>
                <w:color w:val="auto"/>
              </w:rPr>
              <w:t>to constitute or replace any pension rights or compensation and</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are  not  to  be  considered  compensation  of  a  continuing  or</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recurring nature, or part of the Participant’s normal or expected</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compensation, and in no way represent any portion of the</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Participant’s salary, compensation or other remuneration for any</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purpose, including but not limited to, calculating any severance,</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resignation, termination, redundancy, dismissal, end of service</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payments, bonuses, long-service awards, pension or retirement</w:t>
            </w:r>
          </w:p>
        </w:tc>
      </w:tr>
      <w:tr>
        <w:trPr>
          <w:trHeight w:val="282"/>
        </w:trPr>
        <w:tc>
          <w:tcPr>
            <w:tcW w:w="242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benefits or similar payments.</w:t>
            </w:r>
          </w:p>
        </w:tc>
      </w:tr>
      <w:tr>
        <w:trPr>
          <w:trHeight w:val="447"/>
        </w:trPr>
        <w:tc>
          <w:tcPr>
            <w:tcW w:w="24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Counterparts</w:t>
            </w: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This Agreement may be executed in counterparts, each of which</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shall be deemed an original but all of which together shall</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constitute one and the same instrument. Counterpart signature</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9"/>
              </w:rPr>
              <w:t>pages to this Agreement transmitted by facsimile transmission, by</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electronic mail in portable document format (.pdf), or by any</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other electronic means intended to preserve the original graphic</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and pictorial appearance of a document, shall have the same</w:t>
            </w:r>
          </w:p>
        </w:tc>
      </w:tr>
      <w:tr>
        <w:trPr>
          <w:trHeight w:val="282"/>
        </w:trPr>
        <w:tc>
          <w:tcPr>
            <w:tcW w:w="242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effect as physical delivery of the paper document.</w:t>
            </w:r>
          </w:p>
        </w:tc>
      </w:tr>
      <w:tr>
        <w:trPr>
          <w:trHeight w:val="443"/>
        </w:trPr>
        <w:tc>
          <w:tcPr>
            <w:tcW w:w="24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No Advice Regarding</w:t>
            </w: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The Company has not provided any tax, legal or financial advice,</w:t>
            </w:r>
          </w:p>
        </w:tc>
      </w:tr>
      <w:tr>
        <w:trPr>
          <w:trHeight w:val="247"/>
        </w:trPr>
        <w:tc>
          <w:tcPr>
            <w:tcW w:w="2420" w:type="dxa"/>
            <w:vAlign w:val="bottom"/>
          </w:tcPr>
          <w:p>
            <w:pPr>
              <w:ind w:left="80"/>
              <w:spacing w:after="0" w:line="247" w:lineRule="exact"/>
              <w:rPr>
                <w:sz w:val="20"/>
                <w:szCs w:val="20"/>
                <w:color w:val="auto"/>
              </w:rPr>
            </w:pPr>
            <w:r>
              <w:rPr>
                <w:rFonts w:ascii="Times New Roman" w:cs="Times New Roman" w:eastAsia="Times New Roman" w:hAnsi="Times New Roman"/>
                <w:sz w:val="22"/>
                <w:szCs w:val="22"/>
                <w:b w:val="1"/>
                <w:bCs w:val="1"/>
                <w:color w:val="auto"/>
              </w:rPr>
              <w:t>Award</w:t>
            </w:r>
          </w:p>
        </w:tc>
        <w:tc>
          <w:tcPr>
            <w:tcW w:w="6160" w:type="dxa"/>
            <w:vAlign w:val="bottom"/>
          </w:tcPr>
          <w:p>
            <w:pPr>
              <w:ind w:left="360"/>
              <w:spacing w:after="0" w:line="247" w:lineRule="exact"/>
              <w:rPr>
                <w:sz w:val="20"/>
                <w:szCs w:val="20"/>
                <w:color w:val="auto"/>
              </w:rPr>
            </w:pPr>
            <w:r>
              <w:rPr>
                <w:rFonts w:ascii="Times New Roman" w:cs="Times New Roman" w:eastAsia="Times New Roman" w:hAnsi="Times New Roman"/>
                <w:sz w:val="22"/>
                <w:szCs w:val="22"/>
                <w:color w:val="auto"/>
              </w:rPr>
              <w:t>nor has the Company made any recommendations regarding the</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Participant’s  participation  in  the  Plan,  or  the  Participant’s</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acquisition or sale of the underlying Shares. The Participant is</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hereby advised to consult with his or her own personal tax, legal</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and financial advisors regarding his or her participation in the</w:t>
            </w:r>
          </w:p>
        </w:tc>
      </w:tr>
      <w:tr>
        <w:trPr>
          <w:trHeight w:val="282"/>
        </w:trPr>
        <w:tc>
          <w:tcPr>
            <w:tcW w:w="242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Plan before taking any action related to the Plan.</w:t>
            </w:r>
          </w:p>
        </w:tc>
      </w:tr>
      <w:tr>
        <w:trPr>
          <w:trHeight w:val="447"/>
        </w:trPr>
        <w:tc>
          <w:tcPr>
            <w:tcW w:w="24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Acceptance</w:t>
            </w: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The Participant hereby acknowledges receipt of a copy of the</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9"/>
              </w:rPr>
              <w:t>Plan, the Plan prospectus and this Agreement. The Participant has</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read and understands the terms and provisions thereof, and</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accepts the Stock Grant subject to all of the terms and conditions</w:t>
            </w:r>
          </w:p>
        </w:tc>
      </w:tr>
      <w:tr>
        <w:trPr>
          <w:trHeight w:val="243"/>
        </w:trPr>
        <w:tc>
          <w:tcPr>
            <w:tcW w:w="2420" w:type="dxa"/>
            <w:vAlign w:val="bottom"/>
          </w:tcPr>
          <w:p>
            <w:pPr>
              <w:spacing w:after="0"/>
              <w:rPr>
                <w:sz w:val="21"/>
                <w:szCs w:val="21"/>
                <w:color w:val="auto"/>
              </w:rPr>
            </w:pPr>
          </w:p>
        </w:tc>
        <w:tc>
          <w:tcPr>
            <w:tcW w:w="61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of the Plan and this Agreement. The Participant acknowledges</w:t>
            </w:r>
          </w:p>
        </w:tc>
      </w:tr>
      <w:tr>
        <w:trPr>
          <w:trHeight w:val="282"/>
        </w:trPr>
        <w:tc>
          <w:tcPr>
            <w:tcW w:w="242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that there may be adverse tax consequences upon the grant or</w:t>
            </w:r>
          </w:p>
        </w:tc>
      </w:tr>
      <w:tr>
        <w:trPr>
          <w:trHeight w:val="405"/>
        </w:trPr>
        <w:tc>
          <w:tcPr>
            <w:tcW w:w="2420" w:type="dxa"/>
            <w:vAlign w:val="bottom"/>
          </w:tcPr>
          <w:p>
            <w:pPr>
              <w:spacing w:after="0"/>
              <w:rPr>
                <w:sz w:val="24"/>
                <w:szCs w:val="24"/>
                <w:color w:val="auto"/>
              </w:rPr>
            </w:pPr>
          </w:p>
        </w:tc>
        <w:tc>
          <w:tcPr>
            <w:tcW w:w="616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43</w:t>
            </w:r>
          </w:p>
        </w:tc>
      </w:tr>
      <w:tr>
        <w:trPr>
          <w:trHeight w:val="791"/>
        </w:trPr>
        <w:tc>
          <w:tcPr>
            <w:tcW w:w="242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8" w:right="1440" w:bottom="1440" w:gutter="0" w:footer="0" w:header="0"/>
        </w:sectPr>
      </w:pPr>
    </w:p>
    <w:bookmarkStart w:id="176" w:name="page177"/>
    <w:bookmarkEnd w:id="176"/>
    <w:p>
      <w:pPr>
        <w:jc w:val="both"/>
        <w:ind w:left="3000" w:right="319"/>
        <w:spacing w:after="0" w:line="244" w:lineRule="auto"/>
        <w:rPr>
          <w:sz w:val="20"/>
          <w:szCs w:val="20"/>
          <w:color w:val="auto"/>
        </w:rPr>
      </w:pPr>
      <w:r>
        <w:rPr>
          <w:rFonts w:ascii="Times New Roman" w:cs="Times New Roman" w:eastAsia="Times New Roman" w:hAnsi="Times New Roman"/>
          <w:sz w:val="22"/>
          <w:szCs w:val="22"/>
          <w:color w:val="auto"/>
        </w:rPr>
        <w:t>vesting of the Stock Grant or disposition of the underlying Shares and that the Participant should consult a tax advisor prior to such disposition.</w:t>
      </w:r>
    </w:p>
    <w:p>
      <w:pPr>
        <w:spacing w:after="0" w:line="194" w:lineRule="exact"/>
        <w:rPr>
          <w:sz w:val="20"/>
          <w:szCs w:val="20"/>
          <w:color w:val="auto"/>
        </w:rPr>
      </w:pPr>
    </w:p>
    <w:p>
      <w:pPr>
        <w:ind w:left="300" w:right="219" w:firstLine="570"/>
        <w:spacing w:after="0" w:line="256" w:lineRule="auto"/>
        <w:rPr>
          <w:sz w:val="20"/>
          <w:szCs w:val="20"/>
          <w:color w:val="auto"/>
        </w:rPr>
      </w:pPr>
      <w:r>
        <w:rPr>
          <w:rFonts w:ascii="Times New Roman" w:cs="Times New Roman" w:eastAsia="Times New Roman" w:hAnsi="Times New Roman"/>
          <w:sz w:val="21"/>
          <w:szCs w:val="21"/>
          <w:b w:val="1"/>
          <w:bCs w:val="1"/>
          <w:i w:val="1"/>
          <w:iCs w:val="1"/>
          <w:color w:val="auto"/>
        </w:rPr>
        <w:t>By signing the cover sheet of this Agreement, you agree to all of the terms and conditions described above and in the Plan. Any inconsistency between this Agreement and the Plan shall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be resolved by reference to the Plan</w:t>
      </w:r>
      <w:r>
        <w:rPr>
          <w:rFonts w:ascii="Times New Roman" w:cs="Times New Roman" w:eastAsia="Times New Roman" w:hAnsi="Times New Roman"/>
          <w:sz w:val="22"/>
          <w:szCs w:val="22"/>
          <w:color w:val="auto"/>
        </w:rPr>
        <w: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ASSIGNMENT SEPARATE FROM CERTIFICATE</w:t>
      </w:r>
    </w:p>
    <w:p>
      <w:pPr>
        <w:spacing w:after="0" w:line="21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 xml:space="preserve">FOR VALUE RECEIVED and pursuant to that certain Stock Grant Agreement dated as of [ ], the undersigned hereby sells, assigns and transfers unto [ ] shares of the Common Stock of NeuroBo Pharmaceuticals, Inc., a Delaware corporation, standing in the undersigned’s name on the books of said corporation represented by certificate No. </w:t>
      </w:r>
      <w:r>
        <w:rPr>
          <w:rFonts w:ascii="Times New Roman" w:cs="Times New Roman" w:eastAsia="Times New Roman" w:hAnsi="Times New Roman"/>
          <w:sz w:val="21"/>
          <w:szCs w:val="21"/>
          <w:b w:val="1"/>
          <w:bCs w:val="1"/>
          <w:color w:val="auto"/>
        </w:rPr>
        <w:t>____________</w:t>
      </w:r>
      <w:r>
        <w:rPr>
          <w:rFonts w:ascii="Times New Roman" w:cs="Times New Roman" w:eastAsia="Times New Roman" w:hAnsi="Times New Roman"/>
          <w:sz w:val="21"/>
          <w:szCs w:val="21"/>
          <w:color w:val="auto"/>
        </w:rPr>
        <w:t>, herewith, and does hereby</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irrevocably constitute and appoint _____________ attorney-in-fact to transfer the said stock on the</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books of the said corporation with full power of substitution in the premises.</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Dated: [Month] [Day],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27000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ELECTION UNDER SECTION 83(b) OF</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INTERNAL REVENUE CODE</w:t>
      </w:r>
    </w:p>
    <w:p>
      <w:pPr>
        <w:spacing w:after="0" w:line="18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The undersigned taxpayer hereby elects, pursuant to § 83(b) of the Internal Revenue Code of 1986, as amended, to include in gross income as compensation for services the excess (if any) of the fair market value of the shares described below over the amount paid for those shares.</w:t>
      </w:r>
    </w:p>
    <w:p>
      <w:pPr>
        <w:spacing w:after="0" w:line="173" w:lineRule="exact"/>
        <w:rPr>
          <w:sz w:val="20"/>
          <w:szCs w:val="20"/>
          <w:color w:val="auto"/>
        </w:rPr>
      </w:pPr>
    </w:p>
    <w:p>
      <w:pPr>
        <w:ind w:left="860" w:right="239" w:hanging="651"/>
        <w:spacing w:after="0" w:line="258" w:lineRule="auto"/>
        <w:tabs>
          <w:tab w:leader="none" w:pos="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taxpayer identification number, address of the undersigned, and the taxable year for which this election is being made are:</w:t>
      </w:r>
    </w:p>
    <w:p>
      <w:pPr>
        <w:spacing w:after="0" w:line="158"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TAXPAYER’S NAME: _____________________________________________</w:t>
      </w:r>
    </w:p>
    <w:p>
      <w:pPr>
        <w:spacing w:after="0" w:line="14" w:lineRule="exact"/>
        <w:rPr>
          <w:rFonts w:ascii="Times New Roman" w:cs="Times New Roman" w:eastAsia="Times New Roman" w:hAnsi="Times New Roman"/>
          <w:sz w:val="22"/>
          <w:szCs w:val="22"/>
          <w:color w:val="auto"/>
        </w:rPr>
      </w:pPr>
    </w:p>
    <w:p>
      <w:pPr>
        <w:ind w:left="8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TAXPAYER’S SOCIAL SECURITY NUMBER: __________________________</w:t>
      </w:r>
    </w:p>
    <w:p>
      <w:pPr>
        <w:ind w:left="8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______________________________________________________</w:t>
      </w: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TAXABLE YEAR: Calendar Year 20__</w:t>
      </w:r>
    </w:p>
    <w:p>
      <w:pPr>
        <w:spacing w:after="0" w:line="182" w:lineRule="exact"/>
        <w:rPr>
          <w:rFonts w:ascii="Times New Roman" w:cs="Times New Roman" w:eastAsia="Times New Roman" w:hAnsi="Times New Roman"/>
          <w:sz w:val="22"/>
          <w:szCs w:val="22"/>
          <w:color w:val="auto"/>
        </w:rPr>
      </w:pPr>
    </w:p>
    <w:p>
      <w:pPr>
        <w:ind w:left="860" w:right="219" w:hanging="651"/>
        <w:spacing w:after="0" w:line="258" w:lineRule="auto"/>
        <w:tabs>
          <w:tab w:leader="none" w:pos="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which is the subject of this election is __________ shares of common stock of NeuroBo Pharmaceuticals, Inc.</w:t>
      </w:r>
    </w:p>
    <w:p>
      <w:pPr>
        <w:spacing w:after="0" w:line="154"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was transferred to the undersigned on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property is subject to the following restrictions: [</w:t>
      </w:r>
      <w:r>
        <w:rPr>
          <w:rFonts w:ascii="Times New Roman" w:cs="Times New Roman" w:eastAsia="Times New Roman" w:hAnsi="Times New Roman"/>
          <w:sz w:val="22"/>
          <w:szCs w:val="22"/>
          <w:b w:val="1"/>
          <w:bCs w:val="1"/>
          <w:color w:val="auto"/>
        </w:rPr>
        <w:t>Describe restrictions.]</w:t>
      </w:r>
    </w:p>
    <w:p>
      <w:pPr>
        <w:spacing w:after="0" w:line="210" w:lineRule="exact"/>
        <w:rPr>
          <w:rFonts w:ascii="Times New Roman" w:cs="Times New Roman" w:eastAsia="Times New Roman" w:hAnsi="Times New Roman"/>
          <w:sz w:val="22"/>
          <w:szCs w:val="22"/>
          <w:color w:val="auto"/>
        </w:rPr>
      </w:pPr>
    </w:p>
    <w:p>
      <w:pPr>
        <w:jc w:val="both"/>
        <w:ind w:left="860" w:right="239" w:hanging="651"/>
        <w:spacing w:after="0" w:line="244" w:lineRule="auto"/>
        <w:tabs>
          <w:tab w:leader="none" w:pos="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property at the time of transfer (determined without regard to any restriction other than a nonlapse restriction as defined in § 1.83-3(h) of the Income Tax Regulations) is: $_______ per share x ________ shares = $___________.</w:t>
      </w:r>
    </w:p>
    <w:p>
      <w:pPr>
        <w:spacing w:after="0" w:line="173" w:lineRule="exact"/>
        <w:rPr>
          <w:rFonts w:ascii="Times New Roman" w:cs="Times New Roman" w:eastAsia="Times New Roman" w:hAnsi="Times New Roman"/>
          <w:sz w:val="22"/>
          <w:szCs w:val="22"/>
          <w:color w:val="auto"/>
        </w:rPr>
      </w:pPr>
    </w:p>
    <w:p>
      <w:pPr>
        <w:ind w:left="860" w:right="219" w:hanging="651"/>
        <w:spacing w:after="0" w:line="258" w:lineRule="auto"/>
        <w:tabs>
          <w:tab w:leader="none" w:pos="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property transferred, the undersigned paid $______ per share x _________ shares = $______________.</w:t>
      </w:r>
    </w:p>
    <w:p>
      <w:pPr>
        <w:spacing w:after="0" w:line="154" w:lineRule="exact"/>
        <w:rPr>
          <w:rFonts w:ascii="Times New Roman" w:cs="Times New Roman" w:eastAsia="Times New Roman" w:hAnsi="Times New Roman"/>
          <w:sz w:val="22"/>
          <w:szCs w:val="22"/>
          <w:color w:val="auto"/>
        </w:rPr>
      </w:pPr>
    </w:p>
    <w:p>
      <w:pPr>
        <w:ind w:left="860" w:right="239" w:hanging="651"/>
        <w:spacing w:after="0" w:line="262" w:lineRule="auto"/>
        <w:tabs>
          <w:tab w:leader="none" w:pos="86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to include in gross income is $______________. [</w:t>
      </w:r>
      <w:r>
        <w:rPr>
          <w:rFonts w:ascii="Times New Roman" w:cs="Times New Roman" w:eastAsia="Times New Roman" w:hAnsi="Times New Roman"/>
          <w:sz w:val="22"/>
          <w:szCs w:val="22"/>
          <w:b w:val="1"/>
          <w:bCs w:val="1"/>
          <w:color w:val="auto"/>
        </w:rPr>
        <w:t>The result of the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reported in Item 5 minus the amount reported in Item 6.]</w:t>
      </w:r>
    </w:p>
    <w:p>
      <w:pPr>
        <w:spacing w:after="0" w:line="154"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The undersigned taxpayer will file this election with the Internal Revenue Service office with which taxpayer files his or her annual income tax return not later than 30 days after the date of transfer of the property. A copy of the election also will be furnished to the person for whom the services were performed. The undersigned is the person performing the services in connection with which the property was transferred.</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10795</wp:posOffset>
            </wp:positionV>
            <wp:extent cx="50749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Taxpayer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314"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This Non-Qualified Stock Option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the below Grant Date by and between NeuroBo Pharmaceuticals,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________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Capitalized terms used but not</w:t>
      </w:r>
    </w:p>
    <w:p>
      <w:pPr>
        <w:spacing w:after="0" w:line="1" w:lineRule="exact"/>
        <w:rPr>
          <w:sz w:val="20"/>
          <w:szCs w:val="20"/>
          <w:color w:val="auto"/>
        </w:rPr>
      </w:pPr>
    </w:p>
    <w:p>
      <w:pPr>
        <w:jc w:val="both"/>
        <w:ind w:left="200" w:right="219"/>
        <w:spacing w:after="0" w:line="237" w:lineRule="auto"/>
        <w:rPr>
          <w:sz w:val="20"/>
          <w:szCs w:val="20"/>
          <w:color w:val="auto"/>
        </w:rPr>
      </w:pPr>
      <w:r>
        <w:rPr>
          <w:rFonts w:ascii="Times New Roman" w:cs="Times New Roman" w:eastAsia="Times New Roman" w:hAnsi="Times New Roman"/>
          <w:sz w:val="22"/>
          <w:szCs w:val="22"/>
          <w:color w:val="auto"/>
        </w:rPr>
        <w:t>defined herein shall have the meanings ascribed to them in the Company’s 2019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 Date:</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Exercise 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-151765</wp:posOffset>
            </wp:positionV>
            <wp:extent cx="13544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220"/>
        <w:spacing w:after="0" w:line="230" w:lineRule="auto"/>
        <w:rPr>
          <w:sz w:val="20"/>
          <w:szCs w:val="20"/>
          <w:color w:val="auto"/>
        </w:rPr>
      </w:pPr>
      <w:r>
        <w:rPr>
          <w:rFonts w:ascii="Times New Roman" w:cs="Times New Roman" w:eastAsia="Times New Roman" w:hAnsi="Times New Roman"/>
          <w:sz w:val="22"/>
          <w:szCs w:val="22"/>
          <w:color w:val="auto"/>
        </w:rPr>
        <w:t>Share:</w:t>
      </w:r>
    </w:p>
    <w:p>
      <w:pPr>
        <w:ind w:left="220"/>
        <w:spacing w:after="0" w:line="231" w:lineRule="auto"/>
        <w:rPr>
          <w:sz w:val="20"/>
          <w:szCs w:val="20"/>
          <w:color w:val="auto"/>
        </w:rPr>
      </w:pPr>
      <w:r>
        <w:rPr>
          <w:rFonts w:ascii="Times New Roman" w:cs="Times New Roman" w:eastAsia="Times New Roman" w:hAnsi="Times New Roman"/>
          <w:sz w:val="22"/>
          <w:szCs w:val="22"/>
          <w:color w:val="auto"/>
        </w:rPr>
        <w:t>Number of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-151130</wp:posOffset>
            </wp:positionV>
            <wp:extent cx="13544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220"/>
        <w:spacing w:after="0" w:line="230" w:lineRule="auto"/>
        <w:rPr>
          <w:sz w:val="20"/>
          <w:szCs w:val="20"/>
          <w:color w:val="auto"/>
        </w:rPr>
      </w:pPr>
      <w:r>
        <w:rPr>
          <w:rFonts w:ascii="Times New Roman" w:cs="Times New Roman" w:eastAsia="Times New Roman" w:hAnsi="Times New Roman"/>
          <w:sz w:val="22"/>
          <w:szCs w:val="22"/>
          <w:color w:val="auto"/>
        </w:rPr>
        <w:t>Shares: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-3810</wp:posOffset>
            </wp:positionV>
            <wp:extent cx="13544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-158115</wp:posOffset>
            </wp:positionV>
            <wp:extent cx="13544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3" w:lineRule="exact"/>
        <w:rPr>
          <w:sz w:val="20"/>
          <w:szCs w:val="20"/>
          <w:color w:val="auto"/>
        </w:rPr>
      </w:pPr>
    </w:p>
    <w:p>
      <w:pPr>
        <w:ind w:left="860" w:hanging="651"/>
        <w:spacing w:after="0"/>
        <w:tabs>
          <w:tab w:leader="none" w:pos="8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of Option.</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Grant; Type of Option</w:t>
      </w:r>
      <w:r>
        <w:rPr>
          <w:rFonts w:ascii="Times New Roman" w:cs="Times New Roman" w:eastAsia="Times New Roman" w:hAnsi="Times New Roman"/>
          <w:sz w:val="22"/>
          <w:szCs w:val="22"/>
          <w:color w:val="auto"/>
        </w:rPr>
        <w:t>. The Company hereby grants to the Participant a non-qualified stock option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to purchase up to the total number of Option Shares set forth above, at the Exercise Price per Share set forth above. The Option is being granted pursuant to the terms of the Plan. The Option is intended to be a Non-Qualified Stock Option and not an Incentive Stock Option within the meaning of Section 422 of the Code.</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Consideration; Subject to Plan</w:t>
      </w:r>
      <w:r>
        <w:rPr>
          <w:rFonts w:ascii="Times New Roman" w:cs="Times New Roman" w:eastAsia="Times New Roman" w:hAnsi="Times New Roman"/>
          <w:sz w:val="22"/>
          <w:szCs w:val="22"/>
          <w:color w:val="auto"/>
        </w:rPr>
        <w:t>. The grant of the Option is made in consideration of the Services to be rendered by the Participant to the Company and is subject to the terms and conditions of the Plan.</w:t>
      </w:r>
    </w:p>
    <w:p>
      <w:pPr>
        <w:spacing w:after="0" w:line="173" w:lineRule="exact"/>
        <w:rPr>
          <w:sz w:val="20"/>
          <w:szCs w:val="20"/>
          <w:color w:val="auto"/>
        </w:rPr>
      </w:pPr>
    </w:p>
    <w:p>
      <w:pPr>
        <w:ind w:left="860" w:hanging="651"/>
        <w:spacing w:after="0"/>
        <w:tabs>
          <w:tab w:leader="none" w:pos="8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2.16 </w:t>
      </w: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Subject to the Participant’s continuous Service, the Option shall become vested and exercisable with respect to one-twelfth (1/12) of the Option Shares on the last day of each calendar quarter commencing with the calendar quarter following the calendar quarter of the Grant Date (provided however that the last such quarterly vesting installment shall instead occur on the third anniversary of the Grant Date). The unvested portion of the Option shall never be exercisable including for avoidance of doubt on or after the Participant’s termination of Service.</w:t>
      </w:r>
    </w:p>
    <w:p>
      <w:pPr>
        <w:spacing w:after="0" w:line="17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The Option shall expire on the Expiration Date set forth above, or earlier as provided in this Agreement or the Plan.</w:t>
      </w:r>
    </w:p>
    <w:p>
      <w:pPr>
        <w:spacing w:after="0" w:line="158" w:lineRule="exact"/>
        <w:rPr>
          <w:sz w:val="20"/>
          <w:szCs w:val="20"/>
          <w:color w:val="auto"/>
        </w:rPr>
      </w:pPr>
    </w:p>
    <w:p>
      <w:pPr>
        <w:jc w:val="both"/>
        <w:ind w:left="200" w:right="219" w:firstLine="9"/>
        <w:spacing w:after="0" w:line="236" w:lineRule="auto"/>
        <w:tabs>
          <w:tab w:leader="none" w:pos="84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For purposes of this Agreement, “Service” means Participant’s service as an Employee, Consultant, or non-employee director of the Company or Company Affiliate. Service will be deemed terminated as soon as the entity to which Service is being provided is no longer either (i) the Company or (ii) an Affiliate. The Administrator determines when Service commences and when Service terminates. The Administrator may determine whether any Company transaction, such as a sale or spin-off of a division or subsidiary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629920</wp:posOffset>
            </wp:positionV>
            <wp:extent cx="545211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0" w:name="page181"/>
    <w:bookmarkEnd w:id="180"/>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employs a Participant, shall be deemed to result in termination of Service for purposes of this Agreement and the Administrator’s decision shall be final, conclusive and binding.</w:t>
      </w:r>
    </w:p>
    <w:p>
      <w:pPr>
        <w:spacing w:after="0" w:line="15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3.18 </w:t>
      </w:r>
      <w:r>
        <w:rPr>
          <w:rFonts w:ascii="Times New Roman" w:cs="Times New Roman" w:eastAsia="Times New Roman" w:hAnsi="Times New Roman"/>
          <w:sz w:val="22"/>
          <w:szCs w:val="22"/>
          <w:u w:val="single" w:color="auto"/>
          <w:color w:val="auto"/>
        </w:rPr>
        <w:t>Termination for Reasons Other Than Cause, Death, Disability</w:t>
      </w:r>
      <w:r>
        <w:rPr>
          <w:rFonts w:ascii="Times New Roman" w:cs="Times New Roman" w:eastAsia="Times New Roman" w:hAnsi="Times New Roman"/>
          <w:sz w:val="22"/>
          <w:szCs w:val="22"/>
          <w:color w:val="auto"/>
        </w:rPr>
        <w:t>. If the Participant’s Service is terminated for any reason other than Cause, death, or Disability, the Participant may exercise the vested portion of the Option, but only within such period of time ending on the earlier of (a) the date three (3) months following the termination of the Participant’s Service or (b) the Expiration Date or (c) the date that this Option is not assumed or continued after a Corporate Transaction.</w:t>
      </w:r>
    </w:p>
    <w:p>
      <w:pPr>
        <w:spacing w:after="0" w:line="18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3.19 </w:t>
      </w: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Participant’s Service is terminated for Cause, the Option (both vested and unvested portions) shall immediately terminate without consideration and cease to be exercisable. The provisions of Plan Paragraph 15 will apply to this Agreement.</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Participant’s Service terminates as a result of Participant’s Disability, then the provisions of Plan Paragraph 16 will apply to this Agreement and the Participant may exercise the vested portion of the Option, but only within such period of time ending on the earlier of (a) the date twelve (12) months following the Participant’s termination of Service or (b) the Expiration Date or (c) the date that this Option is not assumed or continued after a Corporate Transaction.</w:t>
      </w:r>
    </w:p>
    <w:p>
      <w:pPr>
        <w:spacing w:after="0" w:line="18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 xml:space="preserve">3.21 </w:t>
      </w:r>
      <w:r>
        <w:rPr>
          <w:rFonts w:ascii="Times New Roman" w:cs="Times New Roman" w:eastAsia="Times New Roman" w:hAnsi="Times New Roman"/>
          <w:sz w:val="21"/>
          <w:szCs w:val="21"/>
          <w:u w:val="single" w:color="auto"/>
          <w:color w:val="auto"/>
        </w:rPr>
        <w:t>Termination due to Death</w:t>
      </w:r>
      <w:r>
        <w:rPr>
          <w:rFonts w:ascii="Times New Roman" w:cs="Times New Roman" w:eastAsia="Times New Roman" w:hAnsi="Times New Roman"/>
          <w:sz w:val="21"/>
          <w:szCs w:val="21"/>
          <w:color w:val="auto"/>
        </w:rPr>
        <w:t>. If Participant’s Service terminates as a result of Participant’s death, then the provisions of Plan Paragraph 17 will apply to this Agreement and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twelve (12) months following the Participant’s termination of Service or (b) the Expiration Date or (c) the date that this Option is not assumed or continued after a Corporate Transaction.</w:t>
      </w:r>
    </w:p>
    <w:p>
      <w:pPr>
        <w:spacing w:after="0" w:line="17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u w:val="single" w:color="auto"/>
          <w:color w:val="auto"/>
        </w:rPr>
        <w:t>Extension of Termination Date</w:t>
      </w:r>
      <w:r>
        <w:rPr>
          <w:rFonts w:ascii="Times New Roman" w:cs="Times New Roman" w:eastAsia="Times New Roman" w:hAnsi="Times New Roman"/>
          <w:sz w:val="22"/>
          <w:szCs w:val="22"/>
          <w:color w:val="auto"/>
        </w:rPr>
        <w:t>. If, following the Participant’s termination of Service for any reason (other than for Cause) the exercise of the vested portion of this Option is prohibited because the exercise of the Option would violate the registration requirements under the Securities Act or any other state or federal securities law or the rules of any securities exchange or interdealer quotation system, then the expiration of the Option shall be tolled until the date that is thirty (30) days after the end of the period during which the exercise of the Option would be in violation of such registration or other securities requirements but in no event tolled later than the earlier of the Expiration Date or the date that this Option is not assumed or continued after a Corporate Transaction.</w:t>
      </w:r>
    </w:p>
    <w:p>
      <w:pPr>
        <w:spacing w:after="0" w:line="183" w:lineRule="exact"/>
        <w:rPr>
          <w:sz w:val="20"/>
          <w:szCs w:val="20"/>
          <w:color w:val="auto"/>
        </w:rPr>
      </w:pPr>
    </w:p>
    <w:p>
      <w:pPr>
        <w:jc w:val="both"/>
        <w:ind w:left="200" w:right="219" w:firstLine="9"/>
        <w:spacing w:after="0" w:line="249" w:lineRule="auto"/>
        <w:tabs>
          <w:tab w:leader="none" w:pos="848"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Leaves of Absence</w:t>
      </w:r>
      <w:r>
        <w:rPr>
          <w:rFonts w:ascii="Times New Roman" w:cs="Times New Roman" w:eastAsia="Times New Roman" w:hAnsi="Times New Roman"/>
          <w:sz w:val="21"/>
          <w:szCs w:val="21"/>
          <w:color w:val="auto"/>
        </w:rPr>
        <w:t>. For purposes of the Option, the Participant’s Service does not terminate when he or she goes on a bona fide leave of absence that was approved by the Company in writing, if the terms of the leave of absence provide for Service crediting, or when Service crediting is required by applicable law. The Participant’s Service terminates in any event when the approved leave of absence ends unless the Participant immediately returns to active work. The Administrator determines which leaves of absence count for this purpose (along with determining the effect of a</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1" w:name="page182"/>
    <w:bookmarkEnd w:id="181"/>
    <w:p>
      <w:pPr>
        <w:ind w:left="200" w:right="219"/>
        <w:spacing w:after="0" w:line="258" w:lineRule="auto"/>
        <w:rPr>
          <w:sz w:val="20"/>
          <w:szCs w:val="20"/>
          <w:color w:val="auto"/>
        </w:rPr>
      </w:pPr>
      <w:r>
        <w:rPr>
          <w:rFonts w:ascii="Times New Roman" w:cs="Times New Roman" w:eastAsia="Times New Roman" w:hAnsi="Times New Roman"/>
          <w:sz w:val="22"/>
          <w:szCs w:val="22"/>
          <w:color w:val="auto"/>
        </w:rPr>
        <w:t>leave of absence on vesting of the Option), and when the Participant’s Service terminates for all purposes under the Plan.</w:t>
      </w:r>
    </w:p>
    <w:p>
      <w:pPr>
        <w:spacing w:after="0" w:line="158" w:lineRule="exact"/>
        <w:rPr>
          <w:sz w:val="20"/>
          <w:szCs w:val="20"/>
          <w:color w:val="auto"/>
        </w:rPr>
      </w:pPr>
    </w:p>
    <w:p>
      <w:pPr>
        <w:ind w:left="860" w:hanging="651"/>
        <w:spacing w:after="0"/>
        <w:tabs>
          <w:tab w:leader="none" w:pos="8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5.23 </w:t>
      </w:r>
      <w:r>
        <w:rPr>
          <w:rFonts w:ascii="Times New Roman" w:cs="Times New Roman" w:eastAsia="Times New Roman" w:hAnsi="Times New Roman"/>
          <w:sz w:val="22"/>
          <w:szCs w:val="22"/>
          <w:u w:val="single" w:color="auto"/>
          <w:color w:val="auto"/>
        </w:rPr>
        <w:t>Election to Exercise</w:t>
      </w:r>
      <w:r>
        <w:rPr>
          <w:rFonts w:ascii="Times New Roman" w:cs="Times New Roman" w:eastAsia="Times New Roman" w:hAnsi="Times New Roman"/>
          <w:sz w:val="22"/>
          <w:szCs w:val="22"/>
          <w:color w:val="auto"/>
        </w:rPr>
        <w:t>. To exercise the Option, the Participant (or in the case of exercise after the Participant’s death or incapacity, the Participant’s executor, administrator, heir, or legatee, as the case may be) must deliver to the Company a notice of intent to exercise in the manner designated by the Administrator.</w:t>
      </w:r>
    </w:p>
    <w:p>
      <w:pPr>
        <w:spacing w:after="0" w:line="18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If someone other than the Participant exercises the Option, then such person must submit documentation reasonably acceptable to the Company verifying that such person has the legal right to exercise the Option.</w:t>
      </w:r>
    </w:p>
    <w:p>
      <w:pPr>
        <w:spacing w:after="0" w:line="17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5.24 </w:t>
      </w:r>
      <w:r>
        <w:rPr>
          <w:rFonts w:ascii="Times New Roman" w:cs="Times New Roman" w:eastAsia="Times New Roman" w:hAnsi="Times New Roman"/>
          <w:sz w:val="22"/>
          <w:szCs w:val="22"/>
          <w:u w:val="single" w:color="auto"/>
          <w:color w:val="auto"/>
        </w:rPr>
        <w:t>Payment of Exercise Price</w:t>
      </w:r>
      <w:r>
        <w:rPr>
          <w:rFonts w:ascii="Times New Roman" w:cs="Times New Roman" w:eastAsia="Times New Roman" w:hAnsi="Times New Roman"/>
          <w:sz w:val="22"/>
          <w:szCs w:val="22"/>
          <w:color w:val="auto"/>
        </w:rPr>
        <w:t>. The entire Exercise Price of the Option Shares being acquired shall be payable in full at the time of exercise to the extent permitted by applicable statutes and regulations, either:</w:t>
      </w:r>
    </w:p>
    <w:p>
      <w:pPr>
        <w:spacing w:after="0" w:line="173" w:lineRule="exact"/>
        <w:rPr>
          <w:sz w:val="20"/>
          <w:szCs w:val="20"/>
          <w:color w:val="auto"/>
        </w:rPr>
      </w:pPr>
    </w:p>
    <w:p>
      <w:pPr>
        <w:ind w:left="2160" w:hanging="655"/>
        <w:spacing w:after="0"/>
        <w:tabs>
          <w:tab w:leader="none" w:pos="21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or by certified or bank check at the time the Option is exercised; or</w:t>
      </w:r>
    </w:p>
    <w:p>
      <w:pPr>
        <w:spacing w:after="0" w:line="206"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discretion of the Administrator, upon such terms as the Administrator shall approve including the below:</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35" w:lineRule="auto"/>
        <w:tabs>
          <w:tab w:leader="none" w:pos="2796"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delivery to the Company of other Shares, duly endorsed for transfer to the Company, with an aggregate Fair Market Value on the date of delivery equal to the aggregate Exercise Price (or portion thereof) due for the number of Shares being acquired, or by means of attestation, whereby the Participant identifies for delivery specific Shares that have a Fair Market Value on the date of attestation equal to the aggregate Exercise Price (or portion thereof) and receives a number of Shares equal to the difference between the number of Shares thereby purchased and the number of identified attestation Shares;</w:t>
      </w:r>
    </w:p>
    <w:p>
      <w:pPr>
        <w:spacing w:after="0" w:line="17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a “cashless exercise program” established with a broker;</w:t>
      </w:r>
    </w:p>
    <w:p>
      <w:pPr>
        <w:spacing w:after="0" w:line="206" w:lineRule="exact"/>
        <w:rPr>
          <w:rFonts w:ascii="Times New Roman" w:cs="Times New Roman" w:eastAsia="Times New Roman" w:hAnsi="Times New Roman"/>
          <w:sz w:val="22"/>
          <w:szCs w:val="22"/>
          <w:color w:val="auto"/>
        </w:rPr>
      </w:pPr>
    </w:p>
    <w:p>
      <w:pPr>
        <w:jc w:val="both"/>
        <w:ind w:left="1500" w:right="219" w:firstLine="653"/>
        <w:spacing w:after="0" w:line="244" w:lineRule="auto"/>
        <w:tabs>
          <w:tab w:leader="none" w:pos="2796"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reduction in the number of Shares otherwise deliverable upon exercise of this Option with a Fair Market Value equal to the aggregate Exercise Price at the time of exercise;</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combination of the foregoing methods; 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other form of legal consideration that may be acceptable to the</w:t>
      </w:r>
    </w:p>
    <w:p>
      <w:pPr>
        <w:spacing w:after="0" w:line="25"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5.25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Prior to the issuance of Shares upon the exercise of the Option, the Participant must make arrangements satisfactory to the Company to pay or provide for any applicable federal, state, and local withholding obligations of the Company. The Participant may satisfy any federal, state, or local tax withholding obligation relating to the exercise of the Option by any of the following means: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2" w:name="page183"/>
    <w:bookmarkEnd w:id="182"/>
    <w:p>
      <w:pPr>
        <w:ind w:left="2160" w:hanging="655"/>
        <w:spacing w:after="0"/>
        <w:tabs>
          <w:tab w:leader="none" w:pos="21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tendering a cash payment;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discretion of the Administrator, authorizing the Company to withhold Shares from the Shares otherwise issuable to the Participant as a result of the exercise of the Option; provided, however, that no Shares are withheld with a value exceeding the statutory maximum amount of tax required to be withheld by law; or</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discretion of the Administrator, delivering to the Company previously owned and unencumbered Shares.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The Company also has the right to withhold from any compensation paid to a Participant.</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5.26 </w:t>
      </w: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Provided that the completed and signed exercise notice and payment are in form and substance satisfactory to the Company, the Company shall issue the Shares registered in the name of the Participant, the Participant’s authorized assignee, or the Participant’s legal representative, and shall deliver certificates representing the Shares with the appropriate legends affixed thereto.</w:t>
      </w:r>
    </w:p>
    <w:p>
      <w:pPr>
        <w:spacing w:after="0" w:line="177" w:lineRule="exact"/>
        <w:rPr>
          <w:sz w:val="20"/>
          <w:szCs w:val="20"/>
          <w:color w:val="auto"/>
        </w:rPr>
      </w:pPr>
    </w:p>
    <w:p>
      <w:pPr>
        <w:jc w:val="both"/>
        <w:ind w:left="200" w:right="219" w:firstLine="9"/>
        <w:spacing w:after="0" w:line="236" w:lineRule="auto"/>
        <w:tabs>
          <w:tab w:leader="none" w:pos="84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The Participant, or his or her estate, shall have no rights as a stockholder of the Company with regard to the Option until the Participant has been issued the applicable Option Shares by the Company and has satisfied all other conditions specified in the Plan. No adjustment shall be made for cash or stock dividends or other rights for which the record date is prior to the date when such applicable Option Shares are issued, except as may be provided in the Plan.</w:t>
      </w:r>
    </w:p>
    <w:p>
      <w:pPr>
        <w:spacing w:after="0" w:line="181" w:lineRule="exact"/>
        <w:rPr>
          <w:rFonts w:ascii="Times New Roman" w:cs="Times New Roman" w:eastAsia="Times New Roman" w:hAnsi="Times New Roman"/>
          <w:sz w:val="22"/>
          <w:szCs w:val="22"/>
          <w:color w:val="auto"/>
        </w:rPr>
      </w:pPr>
    </w:p>
    <w:p>
      <w:pPr>
        <w:jc w:val="both"/>
        <w:ind w:left="200" w:right="219" w:firstLine="9"/>
        <w:spacing w:after="0" w:line="235" w:lineRule="auto"/>
        <w:tabs>
          <w:tab w:leader="none" w:pos="84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Option</w:t>
      </w:r>
      <w:r>
        <w:rPr>
          <w:rFonts w:ascii="Times New Roman" w:cs="Times New Roman" w:eastAsia="Times New Roman" w:hAnsi="Times New Roman"/>
          <w:sz w:val="22"/>
          <w:szCs w:val="22"/>
          <w:color w:val="auto"/>
        </w:rPr>
        <w:t>. Prior to the Participant’s death, only the Participant may exercise the Option. The Participant cannot gift, transfer, assign, alienate, pledge, hypothecate, attach, sell, or encumber the Option. If the Participant attempts to do any of these things, the Option will immediately become invalid. The Participant may, however, dispose of the Option by will or it may be transferred by the laws of descent and distribution. Regardless of any marital property settlement agreement, the Company is not obligated to honor a notice of exercise from the Participant’s spouse, nor is the Company obligated to recognize any spousal interest in the Option in any other way.</w:t>
      </w:r>
    </w:p>
    <w:p>
      <w:pPr>
        <w:spacing w:after="0" w:line="178"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Exercise and Resale</w:t>
      </w:r>
      <w:r>
        <w:rPr>
          <w:rFonts w:ascii="Times New Roman" w:cs="Times New Roman" w:eastAsia="Times New Roman" w:hAnsi="Times New Roman"/>
          <w:sz w:val="21"/>
          <w:szCs w:val="21"/>
          <w:color w:val="auto"/>
        </w:rPr>
        <w:t>. By signing this Agreement, the Participant agrees not to (i) exercise this Option (“</w:t>
      </w:r>
      <w:r>
        <w:rPr>
          <w:rFonts w:ascii="Times New Roman" w:cs="Times New Roman" w:eastAsia="Times New Roman" w:hAnsi="Times New Roman"/>
          <w:sz w:val="21"/>
          <w:szCs w:val="21"/>
          <w:b w:val="1"/>
          <w:bCs w:val="1"/>
          <w:color w:val="auto"/>
        </w:rPr>
        <w:t>Exercise Prohibition</w:t>
      </w:r>
      <w:r>
        <w:rPr>
          <w:rFonts w:ascii="Times New Roman" w:cs="Times New Roman" w:eastAsia="Times New Roman" w:hAnsi="Times New Roman"/>
          <w:sz w:val="21"/>
          <w:szCs w:val="21"/>
          <w:color w:val="auto"/>
        </w:rPr>
        <w:t>”), or (ii) sell, transfer, dispose of, pledge, hypothecate, make any short sale of, or otherwise effect a similar transaction of any Shares acquired under this Option (each a “</w:t>
      </w:r>
      <w:r>
        <w:rPr>
          <w:rFonts w:ascii="Times New Roman" w:cs="Times New Roman" w:eastAsia="Times New Roman" w:hAnsi="Times New Roman"/>
          <w:sz w:val="21"/>
          <w:szCs w:val="21"/>
          <w:b w:val="1"/>
          <w:bCs w:val="1"/>
          <w:color w:val="auto"/>
        </w:rPr>
        <w:t>Sale Prohibition</w:t>
      </w:r>
      <w:r>
        <w:rPr>
          <w:rFonts w:ascii="Times New Roman" w:cs="Times New Roman" w:eastAsia="Times New Roman" w:hAnsi="Times New Roman"/>
          <w:sz w:val="21"/>
          <w:szCs w:val="21"/>
          <w:color w:val="auto"/>
        </w:rPr>
        <w:t>”) at a time when applicable laws, regulations or Company or underwriter trading policies prohibit the exercise or disposition of Shares. The Company will not permit the Participant to exercise this Option if the issuance of Shares at that time would violate any law or regulation. The Company shall have the right to designate one or more periods of time, each of which generally will not exceed one hundred eighty (180) days in length (provided however, that such period may be extended in connection with the Company’s release (or announcement of release) of earnings results or other material news or events), and to impose an Exercise Prohibition and/or Sale Prohibition, if the Company determines (in its sole discretion) that such limitation(s) is needed in connection with a public offering of Shares or to comply with an underwriter’s request or trading policy, or could in any way facilitate a lessening</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3" w:name="page184"/>
    <w:bookmarkEnd w:id="183"/>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of any restriction on transfer pursuant to the Securities Act or any state securities laws with respect to any issuance of securities by the Company, facilitate the registration or qualification of any securities by the Company under the Securities Act or any state securities laws, or facilitate the perfection of any exemption from the registration or qualification requirements of the Securities Act or any applicable state securities laws for the issuance or transfer of any securities. The Company may issue stop/transfer instructions and/or appropriately legend any stock certificates issued pursuant to the Option in order to ensure compliance with the foregoing. Any such Exercise Prohibition shall not alter the Vesting Schedule set forth in this Agreement other than to limit the periods during which the Option shall be exercisable.</w:t>
      </w:r>
    </w:p>
    <w:p>
      <w:pPr>
        <w:spacing w:after="0" w:line="18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If the sale of Option Shares acquired under this Agreement is not registered under the Securities Act, but an exemption is available which requires an investment representation or other representation and warranty, the Participant shall represent and agree that the Shares being acquired are being acquired for investment, and not with a view to the sale or distribution thereof, and shall make such other representations and warranties as are deemed necessary or appropriate by the Company and its counsel.</w:t>
      </w:r>
    </w:p>
    <w:p>
      <w:pPr>
        <w:spacing w:after="0" w:line="18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Participant may also be required, as a condition of exercise of the Option, to enter into any Company stockholder agreement or other agreements that are applicable to stockholders.</w:t>
      </w:r>
    </w:p>
    <w:p>
      <w:pPr>
        <w:spacing w:after="0" w:line="158" w:lineRule="exact"/>
        <w:rPr>
          <w:sz w:val="20"/>
          <w:szCs w:val="20"/>
          <w:color w:val="auto"/>
        </w:rPr>
      </w:pPr>
    </w:p>
    <w:p>
      <w:pPr>
        <w:jc w:val="both"/>
        <w:ind w:left="200" w:right="219" w:firstLine="9"/>
        <w:spacing w:after="0" w:line="244" w:lineRule="auto"/>
        <w:tabs>
          <w:tab w:leader="none" w:pos="8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Participant expressly acknowledges and agrees to be bound by Paragraph 35 of the Plan, which contains provisions addressing the Company’s policy on recoupment of equity or other compensation.1</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Retention Rights</w:t>
      </w:r>
      <w:r>
        <w:rPr>
          <w:rFonts w:ascii="Times New Roman" w:cs="Times New Roman" w:eastAsia="Times New Roman" w:hAnsi="Times New Roman"/>
          <w:sz w:val="22"/>
          <w:szCs w:val="22"/>
          <w:color w:val="auto"/>
        </w:rPr>
        <w:t>. The Participant’s Option or this Agreement does not give the Participant the right to be retained by the Company (or any Affiliate) in any capacity. The Company (and its Affiliates) reserves the right to terminate the Participant’s Service at any time and for any reason.</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In the event of a Corporate Transaction, the provisions of Plan Paragraph 25(b) shall apply as is to this Option. In addition, the provisions of Plan Paragraphs 25(a) and 25(c) shall also apply as is to this Option. The Option shall be subject to the terms of the agreement of merger, liquidation or reorganization in the event the Company is subject to such corporate activity.</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All certificates or book entries representing the Shares issued under this Option may, where applicable, have endorsed thereon any notation or legend the Company determines appropriate.</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and Withholding</w:t>
      </w:r>
      <w:r>
        <w:rPr>
          <w:rFonts w:ascii="Times New Roman" w:cs="Times New Roman" w:eastAsia="Times New Roman" w:hAnsi="Times New Roman"/>
          <w:sz w:val="22"/>
          <w:szCs w:val="22"/>
          <w:color w:val="auto"/>
        </w:rPr>
        <w:t>. The Participant will be solely responsible for payment of any and all applicable taxes, including without limitation any penalties or interest based upon such tax obligations, associated with this Option. The Participant will not be allowed to exercise this Option unless acceptable arrangements are made to pay any withholding or other taxes that may be due as a result of the Option exercise or sale of Shares acquired under this Option.</w:t>
      </w:r>
    </w:p>
    <w:p>
      <w:pPr>
        <w:spacing w:after="0" w:line="176" w:lineRule="exact"/>
        <w:rPr>
          <w:rFonts w:ascii="Times New Roman" w:cs="Times New Roman" w:eastAsia="Times New Roman" w:hAnsi="Times New Roman"/>
          <w:sz w:val="22"/>
          <w:szCs w:val="22"/>
          <w:color w:val="auto"/>
        </w:rPr>
      </w:pPr>
    </w:p>
    <w:p>
      <w:pPr>
        <w:ind w:left="200" w:right="219" w:firstLine="9"/>
        <w:spacing w:after="0" w:line="258" w:lineRule="auto"/>
        <w:tabs>
          <w:tab w:leader="none" w:pos="84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This Option will be administered and interpreted to be exempt from (or comply with) Code Section 409A.</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4" w:name="page185"/>
    <w:bookmarkEnd w:id="184"/>
    <w:p>
      <w:pPr>
        <w:jc w:val="both"/>
        <w:ind w:left="200" w:right="219" w:firstLine="9"/>
        <w:spacing w:after="0" w:line="244" w:lineRule="auto"/>
        <w:tabs>
          <w:tab w:leader="none" w:pos="84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Compliance with Law</w:t>
      </w:r>
      <w:r>
        <w:rPr>
          <w:rFonts w:ascii="Times New Roman" w:cs="Times New Roman" w:eastAsia="Times New Roman" w:hAnsi="Times New Roman"/>
          <w:sz w:val="22"/>
          <w:szCs w:val="22"/>
          <w:color w:val="auto"/>
        </w:rPr>
        <w:t>. The Company (and any Affiliate) is not responsible for the Participant’s legal compliance requirements relating to this Option, including, but not limited to, tax reporting.</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Compliance</w:t>
      </w:r>
      <w:r>
        <w:rPr>
          <w:rFonts w:ascii="Times New Roman" w:cs="Times New Roman" w:eastAsia="Times New Roman" w:hAnsi="Times New Roman"/>
          <w:sz w:val="22"/>
          <w:szCs w:val="22"/>
          <w:color w:val="auto"/>
        </w:rPr>
        <w:t>. The issuance of Common Stock pursuant to this Agreement shall be subject to full compliance with all applicable requirements of law and the requirements of any stock exchange or interdealer quotation system upon which the Common Stock may be listed or traded.</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32" w:lineRule="auto"/>
        <w:tabs>
          <w:tab w:leader="none" w:pos="84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Participant hereby explicitly and unambiguously consents to the collection, use and transfer, in electronic or other form, of his or her personal data as described in this document by the Company for the exclusive purpose of implementing, administering and managing his or her participation in the Plan. The Participant understands that the Company holds certain personal information about him or her, including, but not limited to, name, home address and telephone number, date of birth, gender, social security or insurance number or other identification number, salary, nationality, job title, any shares of stock or directorships held in the Company, details of all awards or any other entitlement to Shares awarded, cancelled, purchased, exercised, vested, unvested or outstanding in the Participant’s favor for the purpose of implementing, managing and administering the Plan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The Participant understands that the Data may be transferred to any third parties assisting in the implementation, administration and management of the Plan, that these recipients may be located in his or her country or elsewhere and that the recipient country may have different data privacy laws and protections than his or her country. The Participant authorizes the recipients to receive, possess, use, retain and transfer the Data, in electronic or other form, for the purposes of implementing, administering and managing his or her participation in the Plan, including any requisite transfer of such Data, as may be required to a broker or other third party with whom the Participant may elect to deposit any Shares acquired under the Plan.</w:t>
      </w:r>
    </w:p>
    <w:p>
      <w:pPr>
        <w:spacing w:after="0" w:line="188" w:lineRule="exact"/>
        <w:rPr>
          <w:rFonts w:ascii="Times New Roman" w:cs="Times New Roman" w:eastAsia="Times New Roman" w:hAnsi="Times New Roman"/>
          <w:sz w:val="22"/>
          <w:szCs w:val="22"/>
          <w:color w:val="auto"/>
        </w:rPr>
      </w:pPr>
    </w:p>
    <w:p>
      <w:pPr>
        <w:jc w:val="both"/>
        <w:ind w:left="200" w:right="219" w:firstLine="9"/>
        <w:spacing w:after="0" w:line="246" w:lineRule="auto"/>
        <w:tabs>
          <w:tab w:leader="none" w:pos="848"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to be given or delivered to the Company relating to this Agreement shall be in writing and addressed to the Company at its principal corporate offices. All notices shall be deemed effective upon personal delivery or upon deposit in the postal mail, postage prepaid and properly addressed to the Company. Any notice to be given or delivered to the Participant relating to this Agreement may be delivered by electronic form including without limitation by email (including prospectuses required by the Securities and Exchange Commission) as well as all other documents that the Company is required to deliver to its security holders (including annual reports and proxy statements). The Company may also deliver these documents by posting them on a web site maintained by the Company or by a third party under contract with the Company.</w:t>
      </w:r>
    </w:p>
    <w:p>
      <w:pPr>
        <w:spacing w:after="0" w:line="175" w:lineRule="exact"/>
        <w:rPr>
          <w:rFonts w:ascii="Times New Roman" w:cs="Times New Roman" w:eastAsia="Times New Roman" w:hAnsi="Times New Roman"/>
          <w:sz w:val="21"/>
          <w:szCs w:val="21"/>
          <w:color w:val="auto"/>
        </w:rPr>
      </w:pPr>
    </w:p>
    <w:p>
      <w:pPr>
        <w:jc w:val="both"/>
        <w:ind w:left="200" w:right="219" w:firstLine="9"/>
        <w:spacing w:after="0" w:line="238" w:lineRule="auto"/>
        <w:tabs>
          <w:tab w:leader="none" w:pos="84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color w:val="auto"/>
        </w:rPr>
        <w:t>. The Participant agrees to receive stockholder information, including copies of any annual report, proxy statement and periodic report, from the Company’s website, if the Company wishes to provide such information through its website. The Participant acknowledges that copies of the Plan, Plan prospectus, Plan information and stockholder information are also available upon written or telephonic request to the Administrator.</w:t>
      </w:r>
    </w:p>
    <w:p>
      <w:pPr>
        <w:spacing w:after="0" w:line="176" w:lineRule="exact"/>
        <w:rPr>
          <w:rFonts w:ascii="Times New Roman" w:cs="Times New Roman" w:eastAsia="Times New Roman" w:hAnsi="Times New Roman"/>
          <w:sz w:val="22"/>
          <w:szCs w:val="22"/>
          <w:color w:val="auto"/>
        </w:rPr>
      </w:pPr>
    </w:p>
    <w:p>
      <w:pPr>
        <w:ind w:left="200" w:right="219" w:firstLine="9"/>
        <w:spacing w:after="0" w:line="282" w:lineRule="auto"/>
        <w:tabs>
          <w:tab w:leader="none" w:pos="848"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Assistance</w:t>
      </w:r>
      <w:r>
        <w:rPr>
          <w:rFonts w:ascii="Times New Roman" w:cs="Times New Roman" w:eastAsia="Times New Roman" w:hAnsi="Times New Roman"/>
          <w:sz w:val="21"/>
          <w:szCs w:val="21"/>
          <w:color w:val="auto"/>
        </w:rPr>
        <w:t>. The Participant agrees to provide assistance (either before or after termination of Service) reasonably requested by the Company in connection with actions taken by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5" w:name="page186"/>
    <w:bookmarkEnd w:id="185"/>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the Participant while providing Services to the Company, including but not limited to assistance in connection with any lawsuits or other claims against the Company arising from events during the period in which the Participant rendered Service.</w:t>
      </w:r>
    </w:p>
    <w:p>
      <w:pPr>
        <w:spacing w:after="0" w:line="173" w:lineRule="exact"/>
        <w:rPr>
          <w:sz w:val="20"/>
          <w:szCs w:val="20"/>
          <w:color w:val="auto"/>
        </w:rPr>
      </w:pPr>
    </w:p>
    <w:p>
      <w:pPr>
        <w:jc w:val="both"/>
        <w:ind w:left="200" w:right="219" w:firstLine="9"/>
        <w:spacing w:after="0" w:line="238" w:lineRule="auto"/>
        <w:tabs>
          <w:tab w:leader="none" w:pos="84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w:t>
      </w:r>
      <w:r>
        <w:rPr>
          <w:rFonts w:ascii="Times New Roman" w:cs="Times New Roman" w:eastAsia="Times New Roman" w:hAnsi="Times New Roman"/>
          <w:sz w:val="22"/>
          <w:szCs w:val="22"/>
          <w:color w:val="auto"/>
        </w:rPr>
        <w:t>. If the Company shall determine, in its sole discretion, that the consent or approval of any governmental authority is necessary or desirable as a condition to the payment of benefits to the Participant pursuant to the Plan, such payment shall not occur until such registration, qualification, consent or approval shall have been effected or obtained free of any conditions not acceptable to the Company.</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5" w:lineRule="auto"/>
        <w:tabs>
          <w:tab w:leader="none" w:pos="84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The Company will be entitled to enforce its rights under this Agreement specifically, to recover damages by reason of any breach of any provision of this Agreement and to exercise all other rights to which it may be entitled. The Participant agrees and acknowledges that money damages may not be an adequate remedy for breach of the provisions of this Agreement and that the Company may in its sole discretion apply to any court of law or equity of competent jurisdiction for specific performance and/or injunctive relief in order to enforce or prevent any violations of the provisions of this Agreement.</w:t>
      </w:r>
    </w:p>
    <w:p>
      <w:pPr>
        <w:spacing w:after="0" w:line="183" w:lineRule="exact"/>
        <w:rPr>
          <w:rFonts w:ascii="Times New Roman" w:cs="Times New Roman" w:eastAsia="Times New Roman" w:hAnsi="Times New Roman"/>
          <w:sz w:val="22"/>
          <w:szCs w:val="22"/>
          <w:color w:val="auto"/>
        </w:rPr>
      </w:pPr>
    </w:p>
    <w:p>
      <w:pPr>
        <w:jc w:val="both"/>
        <w:ind w:left="200" w:right="219" w:firstLine="9"/>
        <w:spacing w:after="0" w:line="242" w:lineRule="auto"/>
        <w:tabs>
          <w:tab w:leader="none" w:pos="848"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 of Confidential Information</w:t>
      </w:r>
      <w:r>
        <w:rPr>
          <w:rFonts w:ascii="Times New Roman" w:cs="Times New Roman" w:eastAsia="Times New Roman" w:hAnsi="Times New Roman"/>
          <w:sz w:val="21"/>
          <w:szCs w:val="21"/>
          <w:color w:val="auto"/>
        </w:rPr>
        <w:t>. The Participant acknowledges that the businesses of the Company are highly competitive and that the Company’s strategies, methods, books, records, and documents, technical information concerning their products, equipment, services, and processes, procurement procedures and pricing techniques, the names of and other information (such as credit and financial data) concerning former, present or prospective customers and business affiliates, all comprise confidential business information and trade secrets which are valuable, special, and unique assets which the Company uses in their business to obtain a competitive advantage over competitors. The Participant further acknowledges that protection of such confidential business information and trade secrets against unauthorized disclosure and use is of critical importance to the Company in maintaining its competitive position. The Participant acknowledges that by reason of the Participant’s duties to and association with the Company, the Participant has had and will have access to and have and will become informed of confidential business information which is a competitive asset of the Company. The Participant hereby agrees that he or she will not, at any time during or after employment, make any unauthorized disclosure of any confidential business information or trade secrets of the Company, or make any use thereof, except in the carrying out of services responsibilities. The Participant shall take all necessary and appropriate steps to safeguard confidential business information and protect it against disclosure, misappropriation, misuse, loss and theft. Confidential business information shall not include information in the public domain (but only if the same becomes part of the public domain through a means other than a disclosure prohibited hereunder). The above notwithstanding, a disclosure shall not be unauthorized if (i) it is required by law or by a court of competent jurisdiction or (ii) it is in connection with any judicial, arbitration, dispute resolution or other legal proceeding in which the Participant’s legal rights and obligations as a Service provider or under this Agreement are at issue; provided, however, that the Participant shall, to the extent practicable and lawful in any such events, give prior notice to the Company of his or her intent to disclose any such confidential business information in such context so as to allow the Company an opportunity (which the Participant will not oppose) to obtain such protective orders or similar relief with respect thereto as may be deemed appropriate. In the event of any conflict in terms between this Section 23 and the terms of any Company confidentiality or proprietary information agreement the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6" w:name="page187"/>
    <w:bookmarkEnd w:id="186"/>
    <w:p>
      <w:pPr>
        <w:ind w:left="200" w:right="239"/>
        <w:spacing w:after="0" w:line="258" w:lineRule="auto"/>
        <w:rPr>
          <w:sz w:val="20"/>
          <w:szCs w:val="20"/>
          <w:color w:val="auto"/>
        </w:rPr>
      </w:pPr>
      <w:r>
        <w:rPr>
          <w:rFonts w:ascii="Times New Roman" w:cs="Times New Roman" w:eastAsia="Times New Roman" w:hAnsi="Times New Roman"/>
          <w:sz w:val="22"/>
          <w:szCs w:val="22"/>
          <w:color w:val="auto"/>
        </w:rPr>
        <w:t>Participant has executed, the terms of such other confidentiality or proprietary information agreement shall prevail and govern.</w:t>
      </w:r>
    </w:p>
    <w:p>
      <w:pPr>
        <w:spacing w:after="0" w:line="158" w:lineRule="exact"/>
        <w:rPr>
          <w:sz w:val="20"/>
          <w:szCs w:val="20"/>
          <w:color w:val="auto"/>
        </w:rPr>
      </w:pPr>
    </w:p>
    <w:p>
      <w:pPr>
        <w:ind w:left="200" w:right="219" w:firstLine="9"/>
        <w:spacing w:after="0" w:line="258" w:lineRule="auto"/>
        <w:tabs>
          <w:tab w:leader="none" w:pos="84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will be interpreted and enforced under the laws of the State of Delaware without reference to the conflicts of law provisions thereof.</w:t>
      </w:r>
    </w:p>
    <w:p>
      <w:pPr>
        <w:spacing w:after="0" w:line="158" w:lineRule="exact"/>
        <w:rPr>
          <w:rFonts w:ascii="Times New Roman" w:cs="Times New Roman" w:eastAsia="Times New Roman" w:hAnsi="Times New Roman"/>
          <w:sz w:val="22"/>
          <w:szCs w:val="22"/>
          <w:color w:val="auto"/>
        </w:rPr>
      </w:pPr>
    </w:p>
    <w:p>
      <w:pPr>
        <w:jc w:val="both"/>
        <w:ind w:left="200" w:right="219" w:firstLine="9"/>
        <w:spacing w:after="0" w:line="244" w:lineRule="auto"/>
        <w:tabs>
          <w:tab w:leader="none" w:pos="84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Any dispute regarding the interpretation of this Agreement shall be submitted by the Participant or the Company to the Administrator for review. The resolution of such dispute by the Administrator shall be final and binding on the Participant and the Company.</w:t>
      </w:r>
    </w:p>
    <w:p>
      <w:pPr>
        <w:spacing w:after="0" w:line="173" w:lineRule="exact"/>
        <w:rPr>
          <w:rFonts w:ascii="Times New Roman" w:cs="Times New Roman" w:eastAsia="Times New Roman" w:hAnsi="Times New Roman"/>
          <w:sz w:val="22"/>
          <w:szCs w:val="22"/>
          <w:color w:val="auto"/>
        </w:rPr>
      </w:pPr>
    </w:p>
    <w:p>
      <w:pPr>
        <w:jc w:val="both"/>
        <w:ind w:left="200" w:right="219" w:firstLine="9"/>
        <w:spacing w:after="0" w:line="255" w:lineRule="auto"/>
        <w:tabs>
          <w:tab w:leader="none" w:pos="848"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is Subject to Plan</w:t>
      </w:r>
      <w:r>
        <w:rPr>
          <w:rFonts w:ascii="Times New Roman" w:cs="Times New Roman" w:eastAsia="Times New Roman" w:hAnsi="Times New Roman"/>
          <w:sz w:val="21"/>
          <w:szCs w:val="21"/>
          <w:color w:val="auto"/>
        </w:rPr>
        <w:t>. This Option and this Agreement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shall govern and prevail.</w:t>
      </w:r>
    </w:p>
    <w:p>
      <w:pPr>
        <w:spacing w:after="0" w:line="161"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84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 No Third Party Beneficiaries</w:t>
      </w:r>
      <w:r>
        <w:rPr>
          <w:rFonts w:ascii="Times New Roman" w:cs="Times New Roman" w:eastAsia="Times New Roman" w:hAnsi="Times New Roman"/>
          <w:sz w:val="22"/>
          <w:szCs w:val="22"/>
          <w:color w:val="auto"/>
        </w:rPr>
        <w:t>. This Agreement shall be binding upon and inure to the benefit of the Company and the Participant and any respective heirs, representatives, successors and permitted assigns. This Agreement shall not confer any rights or remedies upon any person other than the Company and the Participant and any respective heirs, representatives, successors and permitted assigns. The parties agree that this Agreement shall survive the settlement or termination of the Option. The Company may assign any of its rights under this Agreement.</w:t>
      </w:r>
    </w:p>
    <w:p>
      <w:pPr>
        <w:spacing w:after="0" w:line="183"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0" w:lineRule="exact"/>
        <w:rPr>
          <w:rFonts w:ascii="Times New Roman" w:cs="Times New Roman" w:eastAsia="Times New Roman" w:hAnsi="Times New Roman"/>
          <w:sz w:val="22"/>
          <w:szCs w:val="22"/>
          <w:color w:val="auto"/>
        </w:rPr>
      </w:pPr>
    </w:p>
    <w:p>
      <w:pPr>
        <w:ind w:left="200" w:right="239" w:firstLine="9"/>
        <w:spacing w:after="0" w:line="258" w:lineRule="auto"/>
        <w:tabs>
          <w:tab w:leader="none" w:pos="84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Participant</w:t>
      </w:r>
      <w:r>
        <w:rPr>
          <w:rFonts w:ascii="Times New Roman" w:cs="Times New Roman" w:eastAsia="Times New Roman" w:hAnsi="Times New Roman"/>
          <w:sz w:val="22"/>
          <w:szCs w:val="22"/>
          <w:color w:val="auto"/>
        </w:rPr>
        <w:t>. The Participant acknowledges that he or she is voluntarily participating in the Plan.</w:t>
      </w:r>
    </w:p>
    <w:p>
      <w:pPr>
        <w:spacing w:after="0" w:line="158" w:lineRule="exact"/>
        <w:rPr>
          <w:rFonts w:ascii="Times New Roman" w:cs="Times New Roman" w:eastAsia="Times New Roman" w:hAnsi="Times New Roman"/>
          <w:sz w:val="22"/>
          <w:szCs w:val="22"/>
          <w:color w:val="auto"/>
        </w:rPr>
      </w:pPr>
    </w:p>
    <w:p>
      <w:pPr>
        <w:jc w:val="both"/>
        <w:ind w:left="200" w:right="219" w:firstLine="9"/>
        <w:spacing w:after="0" w:line="246" w:lineRule="auto"/>
        <w:tabs>
          <w:tab w:leader="none" w:pos="848"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Future Awards</w:t>
      </w:r>
      <w:r>
        <w:rPr>
          <w:rFonts w:ascii="Times New Roman" w:cs="Times New Roman" w:eastAsia="Times New Roman" w:hAnsi="Times New Roman"/>
          <w:sz w:val="21"/>
          <w:szCs w:val="21"/>
          <w:color w:val="auto"/>
        </w:rPr>
        <w:t>. The Participant’s rights, if any, in respect of or in connection with the Option or any other awards are derived solely from the discretionary decision of the Company to permit the Participant to participate in the Plan and to benefit from a discretionary future award. By accepting this Option, the Participant expressly acknowledges that there is no obligation on the part of the Company to continue the Plan and/or grant any additional awards to the Participant or benefits in lieu of Options or any other awards even if awards have been granted repeatedly in the past. All decisions with respect to future awards, if any, will be at the sole discretion of the Administrator. Any amendment, modification, or termination of the Plan shall not constitute a change or impairment of the terms and conditions of the Participant’s Service.</w:t>
      </w:r>
    </w:p>
    <w:p>
      <w:pPr>
        <w:spacing w:after="0" w:line="175" w:lineRule="exact"/>
        <w:rPr>
          <w:rFonts w:ascii="Times New Roman" w:cs="Times New Roman" w:eastAsia="Times New Roman" w:hAnsi="Times New Roman"/>
          <w:sz w:val="21"/>
          <w:szCs w:val="21"/>
          <w:color w:val="auto"/>
        </w:rPr>
      </w:pPr>
    </w:p>
    <w:p>
      <w:pPr>
        <w:jc w:val="both"/>
        <w:ind w:left="200" w:right="219" w:firstLine="9"/>
        <w:spacing w:after="0" w:line="238" w:lineRule="auto"/>
        <w:tabs>
          <w:tab w:leader="none" w:pos="84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Damages</w:t>
      </w:r>
      <w:r>
        <w:rPr>
          <w:rFonts w:ascii="Times New Roman" w:cs="Times New Roman" w:eastAsia="Times New Roman" w:hAnsi="Times New Roman"/>
          <w:sz w:val="22"/>
          <w:szCs w:val="22"/>
          <w:color w:val="auto"/>
        </w:rPr>
        <w:t>. The Participant will have no right to bring a claim or to receive damages if any portion of the Option is cancelled or expires unexercised. The loss of existing or potential profit in the Option will not constitute an element of damages in the event of the termination of the Participant’s Service for any reason, even if the termination is in violation of an obligation of the Company or Affiliate to the Participant.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7" w:name="page188"/>
    <w:bookmarkEnd w:id="187"/>
    <w:p>
      <w:pPr>
        <w:jc w:val="both"/>
        <w:ind w:left="200" w:right="219" w:firstLine="9"/>
        <w:spacing w:after="0" w:line="238" w:lineRule="auto"/>
        <w:tabs>
          <w:tab w:leader="none" w:pos="84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Future Value</w:t>
      </w:r>
      <w:r>
        <w:rPr>
          <w:rFonts w:ascii="Times New Roman" w:cs="Times New Roman" w:eastAsia="Times New Roman" w:hAnsi="Times New Roman"/>
          <w:sz w:val="22"/>
          <w:szCs w:val="22"/>
          <w:color w:val="auto"/>
        </w:rPr>
        <w:t>. The future value of the underlying Shares is unknown and cannot be predicted with certainty. If the underlying Shares do not increase in value after the Date of Option Grant, the Option will have little or no value. If the Participant exercises the Option and obtains Shares, the value of the Shares acquired upon exercise may decrease in value, even below the Exercise Price.</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9" w:lineRule="auto"/>
        <w:tabs>
          <w:tab w:leader="none" w:pos="84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Administrator has the right to amend, alter, suspend, discontinue, or cancel the Option, prospectively or retroactively; provided, that, no such amendment or other action shall adversely affect the Participant’s material rights under this Agreement without the Participant’s consent.</w:t>
      </w:r>
    </w:p>
    <w:p>
      <w:pPr>
        <w:spacing w:after="0" w:line="180" w:lineRule="exact"/>
        <w:rPr>
          <w:rFonts w:ascii="Times New Roman" w:cs="Times New Roman" w:eastAsia="Times New Roman" w:hAnsi="Times New Roman"/>
          <w:sz w:val="22"/>
          <w:szCs w:val="22"/>
          <w:color w:val="auto"/>
        </w:rPr>
      </w:pPr>
    </w:p>
    <w:p>
      <w:pPr>
        <w:jc w:val="both"/>
        <w:ind w:left="200" w:right="219" w:firstLine="9"/>
        <w:spacing w:after="0" w:line="235" w:lineRule="auto"/>
        <w:tabs>
          <w:tab w:leader="none" w:pos="84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Compensation</w:t>
      </w:r>
      <w:r>
        <w:rPr>
          <w:rFonts w:ascii="Times New Roman" w:cs="Times New Roman" w:eastAsia="Times New Roman" w:hAnsi="Times New Roman"/>
          <w:sz w:val="22"/>
          <w:szCs w:val="22"/>
          <w:color w:val="auto"/>
        </w:rPr>
        <w:t>. The Option and the Shares subject to the Option are not intended to constitute or replace any pension rights or compensation and are not to be considered compensation of a continuing or recurring nature, or part of the Participant’s normal or expected compensation, and in no way represent any portion of the Participant’s salary, compensation or other remuneration for any purpose, including but not limited to, calculating any severance, resignation, termination, redundancy, dismissal, end of service payments, bonuses, long-service awards, pension or retirement benefits or similar payments.</w:t>
      </w:r>
    </w:p>
    <w:p>
      <w:pPr>
        <w:spacing w:after="0" w:line="183" w:lineRule="exact"/>
        <w:rPr>
          <w:rFonts w:ascii="Times New Roman" w:cs="Times New Roman" w:eastAsia="Times New Roman" w:hAnsi="Times New Roman"/>
          <w:sz w:val="22"/>
          <w:szCs w:val="22"/>
          <w:color w:val="auto"/>
        </w:rPr>
      </w:pPr>
    </w:p>
    <w:p>
      <w:pPr>
        <w:jc w:val="both"/>
        <w:ind w:left="200" w:right="219" w:firstLine="9"/>
        <w:spacing w:after="0" w:line="236" w:lineRule="auto"/>
        <w:tabs>
          <w:tab w:leader="none" w:pos="84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shall have the same effect as physical delivery of the paper document.</w:t>
      </w:r>
    </w:p>
    <w:p>
      <w:pPr>
        <w:spacing w:after="0" w:line="181" w:lineRule="exact"/>
        <w:rPr>
          <w:rFonts w:ascii="Times New Roman" w:cs="Times New Roman" w:eastAsia="Times New Roman" w:hAnsi="Times New Roman"/>
          <w:sz w:val="22"/>
          <w:szCs w:val="22"/>
          <w:color w:val="auto"/>
        </w:rPr>
      </w:pPr>
    </w:p>
    <w:p>
      <w:pPr>
        <w:jc w:val="both"/>
        <w:ind w:left="200" w:right="219" w:firstLine="9"/>
        <w:spacing w:after="0" w:line="238" w:lineRule="auto"/>
        <w:tabs>
          <w:tab w:leader="none" w:pos="84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The Company has not provided any tax, legal or financial advice, nor has the Company made any recommendations regarding the Participant’s participation in the Plan, or the Participant’s acquisition or sale of the underlying Shares. The Participant is hereby advised to consult with his or her own personal tax, legal and financial advisors regarding his or her participation in the Plan before taking any action related to the Plan.</w:t>
      </w:r>
    </w:p>
    <w:p>
      <w:pPr>
        <w:spacing w:after="0" w:line="176" w:lineRule="exact"/>
        <w:rPr>
          <w:rFonts w:ascii="Times New Roman" w:cs="Times New Roman" w:eastAsia="Times New Roman" w:hAnsi="Times New Roman"/>
          <w:sz w:val="22"/>
          <w:szCs w:val="22"/>
          <w:color w:val="auto"/>
        </w:rPr>
      </w:pPr>
    </w:p>
    <w:p>
      <w:pPr>
        <w:jc w:val="both"/>
        <w:ind w:left="200" w:right="219" w:firstLine="9"/>
        <w:spacing w:after="0" w:line="236" w:lineRule="auto"/>
        <w:tabs>
          <w:tab w:leader="none" w:pos="84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the Plan prospectus and this Agreement. The Participant has read and understands the terms and provisions thereof, and accepts the Option subject to all of the terms and conditions of the Plan and this Agreement. The Participant acknowledges that there may be adverse tax consequences upon the grant, vesting or exercise of the Option or disposition of the underlying Shares and that the Participant should consult a tax advisor prior to such exercise or disposition.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8" w:name="page189"/>
    <w:bookmarkEnd w:id="188"/>
    <w:p>
      <w:pPr>
        <w:ind w:left="8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Grant</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NEUROBO PHARMACEUTICALS, INC.</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ind w:left="4500"/>
        <w:spacing w:after="0" w:line="230" w:lineRule="auto"/>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-151130</wp:posOffset>
            </wp:positionV>
            <wp:extent cx="23571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-3810</wp:posOffset>
            </wp:positionV>
            <wp:extent cx="23571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-158115</wp:posOffset>
            </wp:positionV>
            <wp:extent cx="23571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-3810</wp:posOffset>
            </wp:positionV>
            <wp:extent cx="23571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235712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-158115</wp:posOffset>
            </wp:positionV>
            <wp:extent cx="23571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508000</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89" w:name="page190"/>
    <w:bookmarkEnd w:id="189"/>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3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2021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N</w:t>
      </w:r>
      <w:r>
        <w:rPr>
          <w:rFonts w:ascii="Times New Roman" w:cs="Times New Roman" w:eastAsia="Times New Roman" w:hAnsi="Times New Roman"/>
          <w:sz w:val="14"/>
          <w:szCs w:val="14"/>
          <w:b w:val="1"/>
          <w:bCs w:val="1"/>
          <w:color w:val="auto"/>
        </w:rPr>
        <w:t>ovember</w:t>
      </w:r>
      <w:r>
        <w:rPr>
          <w:rFonts w:ascii="Times New Roman" w:cs="Times New Roman" w:eastAsia="Times New Roman" w:hAnsi="Times New Roman"/>
          <w:sz w:val="22"/>
          <w:szCs w:val="22"/>
          <w:b w:val="1"/>
          <w:bCs w:val="1"/>
          <w:color w:val="auto"/>
        </w:rPr>
        <w:t xml:space="preserve"> 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2021</w:t>
      </w:r>
    </w:p>
    <w:p>
      <w:pPr>
        <w:ind w:left="19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N</w:t>
      </w:r>
      <w:r>
        <w:rPr>
          <w:rFonts w:ascii="Times New Roman" w:cs="Times New Roman" w:eastAsia="Times New Roman" w:hAnsi="Times New Roman"/>
          <w:sz w:val="14"/>
          <w:szCs w:val="14"/>
          <w:b w:val="1"/>
          <w:bCs w:val="1"/>
          <w:color w:val="auto"/>
        </w:rPr>
        <w:t>ovember</w:t>
      </w:r>
      <w:r>
        <w:rPr>
          <w:rFonts w:ascii="Times New Roman" w:cs="Times New Roman" w:eastAsia="Times New Roman" w:hAnsi="Times New Roman"/>
          <w:sz w:val="22"/>
          <w:szCs w:val="22"/>
          <w:b w:val="1"/>
          <w:bCs w:val="1"/>
          <w:color w:val="auto"/>
        </w:rPr>
        <w:t xml:space="preserve"> 29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2024</w:t>
      </w:r>
    </w:p>
    <w:p>
      <w:pPr>
        <w:spacing w:after="0" w:line="286" w:lineRule="exact"/>
        <w:rPr>
          <w:sz w:val="20"/>
          <w:szCs w:val="20"/>
          <w:color w:val="auto"/>
        </w:rPr>
      </w:pPr>
    </w:p>
    <w:p>
      <w:pPr>
        <w:ind w:left="1500" w:hanging="643"/>
        <w:spacing w:after="0"/>
        <w:tabs>
          <w:tab w:leader="none" w:pos="1500"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33" w:lineRule="auto"/>
        <w:tabs>
          <w:tab w:leader="none" w:pos="2144" w:val="left"/>
        </w:tabs>
        <w:numPr>
          <w:ilvl w:val="1"/>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Eligible Award Recipients. </w:t>
      </w:r>
      <w:r>
        <w:rPr>
          <w:rFonts w:ascii="Times New Roman" w:cs="Times New Roman" w:eastAsia="Times New Roman" w:hAnsi="Times New Roman"/>
          <w:sz w:val="22"/>
          <w:szCs w:val="22"/>
          <w:color w:val="auto"/>
        </w:rPr>
        <w:t>The only persons eligible to receive grants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Awards under this Plan are individuals who satisfy the standards for inducement grants under Nasdaq Marketplace Rule 5635(c)(4) or 5635(c)(3), if applicable, and the related guidance under Nasdaq IM 5635-1 (together with any analogous rules or guidance effective after the date hereof, the </w:t>
      </w:r>
      <w:r>
        <w:rPr>
          <w:rFonts w:ascii="Times New Roman" w:cs="Times New Roman" w:eastAsia="Times New Roman" w:hAnsi="Times New Roman"/>
          <w:sz w:val="22"/>
          <w:szCs w:val="22"/>
          <w:b w:val="1"/>
          <w:bCs w:val="1"/>
          <w:i w:val="1"/>
          <w:iCs w:val="1"/>
          <w:color w:val="auto"/>
        </w:rPr>
        <w:t>“Inducement Award Rules”</w:t>
      </w:r>
      <w:r>
        <w:rPr>
          <w:rFonts w:ascii="Times New Roman" w:cs="Times New Roman" w:eastAsia="Times New Roman" w:hAnsi="Times New Roman"/>
          <w:sz w:val="22"/>
          <w:szCs w:val="22"/>
          <w:color w:val="auto"/>
        </w:rPr>
        <w:t xml:space="preserve">). A person who previously served as an Employee or Director will not be eligible to receive Awards under this Plan, other than following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period of non-employment. Persons eligible to receive grants of Awards under this Plan are referred to in this Plan as </w:t>
      </w:r>
      <w:r>
        <w:rPr>
          <w:rFonts w:ascii="Times New Roman" w:cs="Times New Roman" w:eastAsia="Times New Roman" w:hAnsi="Times New Roman"/>
          <w:sz w:val="22"/>
          <w:szCs w:val="22"/>
          <w:b w:val="1"/>
          <w:bCs w:val="1"/>
          <w:i w:val="1"/>
          <w:iCs w:val="1"/>
          <w:color w:val="auto"/>
        </w:rPr>
        <w:t>“Eligible Employees.”</w:t>
      </w:r>
      <w:r>
        <w:rPr>
          <w:rFonts w:ascii="Times New Roman" w:cs="Times New Roman" w:eastAsia="Times New Roman" w:hAnsi="Times New Roman"/>
          <w:sz w:val="22"/>
          <w:szCs w:val="22"/>
          <w:color w:val="auto"/>
        </w:rPr>
        <w:t xml:space="preserve"> These Awards must be approved by either a majority of the Company’s </w:t>
      </w:r>
      <w:r>
        <w:rPr>
          <w:rFonts w:ascii="Times New Roman" w:cs="Times New Roman" w:eastAsia="Times New Roman" w:hAnsi="Times New Roman"/>
          <w:sz w:val="22"/>
          <w:szCs w:val="22"/>
          <w:b w:val="1"/>
          <w:bCs w:val="1"/>
          <w:i w:val="1"/>
          <w:iCs w:val="1"/>
          <w:color w:val="auto"/>
        </w:rPr>
        <w:t>“Independent Directors”</w:t>
      </w:r>
      <w:r>
        <w:rPr>
          <w:rFonts w:ascii="Times New Roman" w:cs="Times New Roman" w:eastAsia="Times New Roman" w:hAnsi="Times New Roman"/>
          <w:sz w:val="22"/>
          <w:szCs w:val="22"/>
          <w:color w:val="auto"/>
        </w:rPr>
        <w:t xml:space="preserve"> (as such term is defined in Nasdaq Marketplace Rule 5605(a)(2)) or the Company’s compensation committee, provided such committee comprises solely Independent Directors (the </w:t>
      </w:r>
      <w:r>
        <w:rPr>
          <w:rFonts w:ascii="Times New Roman" w:cs="Times New Roman" w:eastAsia="Times New Roman" w:hAnsi="Times New Roman"/>
          <w:sz w:val="22"/>
          <w:szCs w:val="22"/>
          <w:b w:val="1"/>
          <w:bCs w:val="1"/>
          <w:i w:val="1"/>
          <w:iCs w:val="1"/>
          <w:color w:val="auto"/>
        </w:rPr>
        <w:t>“Independent Compensation Committee”</w:t>
      </w:r>
      <w:r>
        <w:rPr>
          <w:rFonts w:ascii="Times New Roman" w:cs="Times New Roman" w:eastAsia="Times New Roman" w:hAnsi="Times New Roman"/>
          <w:sz w:val="22"/>
          <w:szCs w:val="22"/>
          <w:color w:val="auto"/>
        </w:rPr>
        <w:t>) in order to comply with the exemption from the stockholder approval requirement for “inducement grants” provided under the Inducement Award Rules.</w:t>
      </w:r>
    </w:p>
    <w:p>
      <w:pPr>
        <w:spacing w:after="0" w:line="182"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Available Awards.  </w:t>
      </w:r>
      <w:r>
        <w:rPr>
          <w:rFonts w:ascii="Times New Roman" w:cs="Times New Roman" w:eastAsia="Times New Roman" w:hAnsi="Times New Roman"/>
          <w:sz w:val="22"/>
          <w:szCs w:val="22"/>
          <w:color w:val="auto"/>
        </w:rPr>
        <w:t>This Plan provides for the grant of the following</w:t>
      </w:r>
    </w:p>
    <w:p>
      <w:pPr>
        <w:spacing w:after="0" w:line="18" w:lineRule="exact"/>
        <w:rPr>
          <w:rFonts w:ascii="Times New Roman" w:cs="Times New Roman" w:eastAsia="Times New Roman" w:hAnsi="Times New Roman"/>
          <w:sz w:val="22"/>
          <w:szCs w:val="22"/>
          <w:b w:val="1"/>
          <w:bCs w:val="1"/>
          <w:color w:val="auto"/>
        </w:rPr>
      </w:pPr>
    </w:p>
    <w:p>
      <w:pPr>
        <w:jc w:val="both"/>
        <w:ind w:left="200" w:right="239"/>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Awards: (i) Options, (ii) Stock Appreciation Rights, (iii) Restricted Stock Awards, (iv) Restricted Stock Unit Awards, (v) Performance Stock Awards, (vi) Performance Cash Awards and (vii) Other Stock Awards. All Options shall be Nonstatutory Stock Options.</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37" w:lineRule="auto"/>
        <w:tabs>
          <w:tab w:leader="none" w:pos="2144" w:val="left"/>
        </w:tabs>
        <w:numPr>
          <w:ilvl w:val="1"/>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This Plan, through the grant of Awards, is intended to provide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inducement material for certain individuals to enter into employment with the Company within the meaning of Rule 5635(c)(4) of the Nasdaq Marketplace Rules, (ii) incentives for such persons to exert maximum efforts for the success of the Company and any Affiliate and (iii) a means by which Eligible Employees may be given an opportunity to benefit from increases in value of the Common Stock.</w:t>
      </w:r>
    </w:p>
    <w:p>
      <w:pPr>
        <w:spacing w:after="0" w:line="175"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52" w:lineRule="auto"/>
        <w:tabs>
          <w:tab w:leader="none" w:pos="2144" w:val="left"/>
        </w:tabs>
        <w:numPr>
          <w:ilvl w:val="1"/>
          <w:numId w:val="2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Administration by Board. </w:t>
      </w:r>
      <w:r>
        <w:rPr>
          <w:rFonts w:ascii="Times New Roman" w:cs="Times New Roman" w:eastAsia="Times New Roman" w:hAnsi="Times New Roman"/>
          <w:sz w:val="21"/>
          <w:szCs w:val="21"/>
          <w:color w:val="auto"/>
        </w:rPr>
        <w:t>The Board will administer this Plan;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however, that Awards may only be granted by either (i) a majority of the Company’s Independent Directors or (ii) the Independent Compensation Committee. Subject to those constraints and the other constraints of the Inducement Award Rules, the Board may delegate some of its powers of administration of this Plan to a Committee or Committees, as provided in Section 2(c).</w:t>
      </w:r>
    </w:p>
    <w:p>
      <w:pPr>
        <w:spacing w:after="0" w:line="163" w:lineRule="exact"/>
        <w:rPr>
          <w:rFonts w:ascii="Times New Roman" w:cs="Times New Roman" w:eastAsia="Times New Roman" w:hAnsi="Times New Roman"/>
          <w:sz w:val="21"/>
          <w:szCs w:val="21"/>
          <w:b w:val="1"/>
          <w:bCs w:val="1"/>
          <w:color w:val="auto"/>
        </w:rPr>
      </w:pPr>
    </w:p>
    <w:p>
      <w:pPr>
        <w:ind w:left="200" w:right="239" w:firstLine="1305"/>
        <w:spacing w:after="0" w:line="262" w:lineRule="auto"/>
        <w:tabs>
          <w:tab w:leader="none" w:pos="2144" w:val="left"/>
        </w:tabs>
        <w:numPr>
          <w:ilvl w:val="1"/>
          <w:numId w:val="2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Powers of Board. </w:t>
      </w:r>
      <w:r>
        <w:rPr>
          <w:rFonts w:ascii="Times New Roman" w:cs="Times New Roman" w:eastAsia="Times New Roman" w:hAnsi="Times New Roman"/>
          <w:sz w:val="22"/>
          <w:szCs w:val="22"/>
          <w:color w:val="auto"/>
        </w:rPr>
        <w:t>The Board will have the power, subject to, and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limitations of, the express provisions of this Plan and the Inducement Award Rules: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0" w:name="page191"/>
    <w:bookmarkEnd w:id="190"/>
    <w:p>
      <w:pPr>
        <w:jc w:val="both"/>
        <w:ind w:left="200" w:right="219" w:firstLine="1953"/>
        <w:spacing w:after="0" w:line="235" w:lineRule="auto"/>
        <w:tabs>
          <w:tab w:leader="none" w:pos="2792"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an Award; provided, however, that Awards may only be granted by either (i) a majority of the Company’s Independent Directors or (ii) the Independent Compensation Committee.</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this Plan and Awards granted under it, and to establish, amend and revoke rules and regulations for administration of this Plan and Awards. The Board, in the exercise of these powers, may correct any defect, omission or inconsistency in this Plan or in any Award Agreement, in a manner and to the extent it will deem necessary or expedient to make this Plan or Award fully effective.</w:t>
      </w:r>
    </w:p>
    <w:p>
      <w:pPr>
        <w:spacing w:after="0" w:line="17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this Plan and Awards granted</w:t>
      </w:r>
    </w:p>
    <w:p>
      <w:pPr>
        <w:spacing w:after="0" w:line="14"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under it.</w:t>
      </w:r>
    </w:p>
    <w:p>
      <w:pPr>
        <w:spacing w:after="0" w:line="182"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accelerate, in whole or in part, the time at which an Award may be exercised or vest (or the time at which cash or shares of Common Stock may be issued in settlement thereof).</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this Plan at any time. Except as otherwise provided in this Plan or an Award Agreement, suspension or termination of this Plan will not materially impair a Participant’s rights under the Participant’s then-outstanding Award without the Participant’s written consent, except as provided in subsection (viii) below.</w:t>
      </w:r>
    </w:p>
    <w:p>
      <w:pPr>
        <w:spacing w:after="0" w:line="180" w:lineRule="exact"/>
        <w:rPr>
          <w:rFonts w:ascii="Times New Roman" w:cs="Times New Roman" w:eastAsia="Times New Roman" w:hAnsi="Times New Roman"/>
          <w:sz w:val="22"/>
          <w:szCs w:val="22"/>
          <w:b w:val="1"/>
          <w:bCs w:val="1"/>
          <w:color w:val="auto"/>
        </w:rPr>
      </w:pPr>
    </w:p>
    <w:p>
      <w:pPr>
        <w:jc w:val="both"/>
        <w:ind w:left="200" w:right="219" w:firstLine="1953"/>
        <w:spacing w:after="0" w:line="234" w:lineRule="auto"/>
        <w:tabs>
          <w:tab w:leader="none" w:pos="2792"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amend this Plan in any respect the Board deems necessary or advisable, including, without limitation, by adopting amendments relating to certain nonqualified deferred compensation under Section 409A of the Code and/or to ensure this Plan or Awards granted under this Plan are exempt from, or compliant with, the requirements for nonqualified deferred compensation under Section 409A of the Code, subject to the limitations, if any, of applicable law. Except as provided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relating to Capitalization Adjustments, if required by applicable law or listing requirements, the Company shall seek stockholder approval for any amendment of this Plan. Except as otherwise provided in this Plan or an Award Agreement, no amendment of this Plan will materially impair a Participant’s rights under an outstanding Award without the Participant’s written consent.</w:t>
      </w:r>
    </w:p>
    <w:p>
      <w:pPr>
        <w:spacing w:after="0" w:line="179"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submit any amendment to this Plan for stockholder approval, including, but not limited to, amendments to this Plan intended to satisfy the requirements of Rule 16b-3 or to comply with other applicable laws or listing requirements.</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0"/>
          <w:numId w:val="2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approve forms of Award Agreements for use under this Plan and to amend the terms of any one or more Awards, including, but not limited to, amendments to provide terms more favorable to the Participant than previously provided in the Award Agreement, subject to any specified limits in this Plan that are not subject to Board discretion; provided, however, that a Participant’s rights under any Award will not be impaired by any such</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1" w:name="page192"/>
    <w:bookmarkEnd w:id="191"/>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clarify the manner of exemption from, or to bring the Award into compliance with, Section 409A of the Code and the Department of Treasury regulations and other interpretive guidance issued thereunder (including, without limitation, such guidance as may be issued after the Effective Date); or (B) to comply with other applicable laws or listing requirements.</w:t>
      </w:r>
    </w:p>
    <w:p>
      <w:pPr>
        <w:spacing w:after="0" w:line="180" w:lineRule="exact"/>
        <w:rPr>
          <w:sz w:val="20"/>
          <w:szCs w:val="20"/>
          <w:color w:val="auto"/>
        </w:rPr>
      </w:pPr>
    </w:p>
    <w:p>
      <w:pPr>
        <w:jc w:val="both"/>
        <w:ind w:left="200" w:right="219" w:firstLine="1953"/>
        <w:spacing w:after="0" w:line="244" w:lineRule="auto"/>
        <w:tabs>
          <w:tab w:leader="none" w:pos="2792" w:val="left"/>
        </w:tabs>
        <w:numPr>
          <w:ilvl w:val="1"/>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this Plan or Awards.</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1"/>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adopt such procedures and sub-plans as are necessary or appropriate to permit participation in this Plan by Eligible Employees who are foreign nationals or employed outside the United States (provided that Board approval will not be necessary for immaterial modifications to this Plan or any Award Agreement that are required for compliance with the laws of the relevant foreign jurisdiction).</w:t>
      </w:r>
    </w:p>
    <w:p>
      <w:pPr>
        <w:spacing w:after="0" w:line="172"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Committee.</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953"/>
        <w:spacing w:after="0" w:line="233" w:lineRule="auto"/>
        <w:tabs>
          <w:tab w:leader="none" w:pos="2792"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the Board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delegate some or all of the administration of this Plan to a Committee or Committees. If administration of this Plan is delegated to a Committee, the Committee will have, in connection with the administration of this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this Plan, adopted from time to time by the Board or Committee (as applicable). The Committee may, at any time, abolish the subcommittee and/or revest in the Committee any powers delegated to the subcommittee. The Board may retain the authority to concurrently administer this Plan with the Committee and may, at any time, revest in the Board some or all of the powers previously delegated.</w:t>
      </w:r>
    </w:p>
    <w:p>
      <w:pPr>
        <w:spacing w:after="0" w:line="182" w:lineRule="exact"/>
        <w:rPr>
          <w:rFonts w:ascii="Times New Roman" w:cs="Times New Roman" w:eastAsia="Times New Roman" w:hAnsi="Times New Roman"/>
          <w:sz w:val="22"/>
          <w:szCs w:val="22"/>
          <w:b w:val="1"/>
          <w:bCs w:val="1"/>
          <w:color w:val="auto"/>
        </w:rPr>
      </w:pPr>
    </w:p>
    <w:p>
      <w:pPr>
        <w:ind w:left="200" w:right="239" w:firstLine="1953"/>
        <w:spacing w:after="0" w:line="262" w:lineRule="auto"/>
        <w:tabs>
          <w:tab w:leader="none" w:pos="2792"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Rule 16b-3 Compliance. </w:t>
      </w:r>
      <w:r>
        <w:rPr>
          <w:rFonts w:ascii="Times New Roman" w:cs="Times New Roman" w:eastAsia="Times New Roman" w:hAnsi="Times New Roman"/>
          <w:sz w:val="22"/>
          <w:szCs w:val="22"/>
          <w:color w:val="auto"/>
        </w:rPr>
        <w:t>The Committee may consist solely of two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more Non-Employee Directors in accordance with Rule 16b-3.</w:t>
      </w:r>
    </w:p>
    <w:p>
      <w:pPr>
        <w:spacing w:after="0" w:line="149" w:lineRule="exact"/>
        <w:rPr>
          <w:rFonts w:ascii="Times New Roman" w:cs="Times New Roman" w:eastAsia="Times New Roman" w:hAnsi="Times New Roman"/>
          <w:sz w:val="22"/>
          <w:szCs w:val="22"/>
          <w:b w:val="1"/>
          <w:bCs w:val="1"/>
          <w:color w:val="auto"/>
        </w:rPr>
      </w:pPr>
    </w:p>
    <w:p>
      <w:pPr>
        <w:jc w:val="both"/>
        <w:ind w:left="200" w:right="219" w:firstLine="1305"/>
        <w:spacing w:after="0" w:line="246" w:lineRule="auto"/>
        <w:tabs>
          <w:tab w:leader="none" w:pos="2144"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Board’s Decision. </w:t>
      </w:r>
      <w:r>
        <w:rPr>
          <w:rFonts w:ascii="Times New Roman" w:cs="Times New Roman" w:eastAsia="Times New Roman" w:hAnsi="Times New Roman"/>
          <w:sz w:val="22"/>
          <w:szCs w:val="22"/>
          <w:color w:val="auto"/>
        </w:rPr>
        <w:t>All determinations, interpretations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constructions made by the Board in good faith will not be subject to review by any person and will be final, binding and conclusive on all persons.</w:t>
      </w:r>
    </w:p>
    <w:p>
      <w:pPr>
        <w:spacing w:after="0" w:line="167" w:lineRule="exact"/>
        <w:rPr>
          <w:rFonts w:ascii="Times New Roman" w:cs="Times New Roman" w:eastAsia="Times New Roman" w:hAnsi="Times New Roman"/>
          <w:sz w:val="22"/>
          <w:szCs w:val="22"/>
          <w:b w:val="1"/>
          <w:bCs w:val="1"/>
          <w:color w:val="auto"/>
        </w:rPr>
      </w:pPr>
    </w:p>
    <w:p>
      <w:pPr>
        <w:ind w:left="200" w:right="219" w:firstLine="1305"/>
        <w:spacing w:after="0" w:line="262" w:lineRule="auto"/>
        <w:tabs>
          <w:tab w:leader="none" w:pos="2144"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Repricing; Cancellation and Re-Grant of Awards. </w:t>
      </w:r>
      <w:r>
        <w:rPr>
          <w:rFonts w:ascii="Times New Roman" w:cs="Times New Roman" w:eastAsia="Times New Roman" w:hAnsi="Times New Roman"/>
          <w:sz w:val="22"/>
          <w:szCs w:val="22"/>
          <w:color w:val="auto"/>
        </w:rPr>
        <w:t>Neither the Board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Committee will have the authority to reduce the exercise, purchase or strike price of any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2" w:name="page193"/>
    <w:bookmarkEnd w:id="192"/>
    <w:p>
      <w:pPr>
        <w:ind w:left="200" w:right="219"/>
        <w:spacing w:after="0" w:line="259" w:lineRule="auto"/>
        <w:rPr>
          <w:sz w:val="20"/>
          <w:szCs w:val="20"/>
          <w:color w:val="auto"/>
        </w:rPr>
      </w:pPr>
      <w:r>
        <w:rPr>
          <w:rFonts w:ascii="Times New Roman" w:cs="Times New Roman" w:eastAsia="Times New Roman" w:hAnsi="Times New Roman"/>
          <w:sz w:val="22"/>
          <w:szCs w:val="22"/>
          <w:color w:val="auto"/>
        </w:rPr>
        <w:t>outstanding Option or SAR, unless the stockholders of the Company have approved such an action within twelve (12) months prior to such an event.</w:t>
      </w:r>
    </w:p>
    <w:p>
      <w:pPr>
        <w:spacing w:after="0" w:line="153" w:lineRule="exact"/>
        <w:rPr>
          <w:sz w:val="20"/>
          <w:szCs w:val="20"/>
          <w:color w:val="auto"/>
        </w:rPr>
      </w:pPr>
    </w:p>
    <w:p>
      <w:pPr>
        <w:ind w:left="1500" w:hanging="643"/>
        <w:spacing w:after="0"/>
        <w:tabs>
          <w:tab w:leader="none" w:pos="1500" w:val="left"/>
        </w:tabs>
        <w:numPr>
          <w:ilvl w:val="0"/>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this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Share Reserve.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Capitalization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Adjustments, the aggregate number of shares of Common Stock that may be issued pursuant to Awards will not exceed 1,000,000 shares (the </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 No Participant in the Plan may be granted an Award during the term of the Plan in excess of the Share Reserve. For clarity, the Share Reserve is a limitation in the number of shares of Common Stock that may be issued pursuant to the Plan and does not limit the granting of Awards except as provided in Section 7(a).</w:t>
      </w:r>
    </w:p>
    <w:p>
      <w:pPr>
        <w:spacing w:after="0" w:line="6" w:lineRule="exact"/>
        <w:rPr>
          <w:rFonts w:ascii="Times New Roman" w:cs="Times New Roman" w:eastAsia="Times New Roman" w:hAnsi="Times New Roman"/>
          <w:sz w:val="22"/>
          <w:szCs w:val="22"/>
          <w:b w:val="1"/>
          <w:bCs w:val="1"/>
          <w:color w:val="auto"/>
        </w:rPr>
      </w:pPr>
    </w:p>
    <w:p>
      <w:pPr>
        <w:jc w:val="both"/>
        <w:ind w:left="200" w:right="219" w:firstLine="113"/>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Shares may be issued in connection with a merger or acquisition as permitted by Nasdaq Marketplace Rule 5635(c) or, if applicable NYSE Listed Company Manual Section 303A.08, AMEX Company Guide Section 711 or other applicable rule, and such issuance will not reduce the number of shares available for issuance under this Plan.</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45" w:lineRule="auto"/>
        <w:tabs>
          <w:tab w:leader="none" w:pos="2144" w:val="left"/>
        </w:tabs>
        <w:numPr>
          <w:ilvl w:val="1"/>
          <w:numId w:val="2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Reversion of Shares to the Share Reserve. </w:t>
      </w:r>
      <w:r>
        <w:rPr>
          <w:rFonts w:ascii="Times New Roman" w:cs="Times New Roman" w:eastAsia="Times New Roman" w:hAnsi="Times New Roman"/>
          <w:sz w:val="21"/>
          <w:szCs w:val="21"/>
          <w:color w:val="auto"/>
        </w:rPr>
        <w:t>If an Award or any portion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thereof (i) expires or otherwise terminates without all of the shares covered by such Award having been issued or (ii) is settled in cash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Participant receives cash rather than stock), such expiration, termination or settlement will not reduce (or otherwise offset) the number of shares of Common Stock that may be available for issuance under this Plan. If any shares of Common Stock issued pursuant to an Award are forfeited back to or repurchased or reacquired by the Company for any reason, including because of the failure to meet a contingency or condition required to vest such shares in the Participant, then the shares that are forfeited or repurchased or reacquired will revert to and again become available for issuance under this Plan. Any shares reacquired by the Company in satisfaction of tax withholding obligations on an Award or as consideration for the exercise or purchase price of an Award will again become available for issuance under this Plan.</w:t>
      </w:r>
    </w:p>
    <w:p>
      <w:pPr>
        <w:spacing w:after="0" w:line="177" w:lineRule="exact"/>
        <w:rPr>
          <w:rFonts w:ascii="Times New Roman" w:cs="Times New Roman" w:eastAsia="Times New Roman" w:hAnsi="Times New Roman"/>
          <w:sz w:val="21"/>
          <w:szCs w:val="21"/>
          <w:b w:val="1"/>
          <w:bCs w:val="1"/>
          <w:color w:val="auto"/>
        </w:rPr>
      </w:pPr>
    </w:p>
    <w:p>
      <w:pPr>
        <w:jc w:val="both"/>
        <w:ind w:left="200" w:right="219" w:firstLine="1305"/>
        <w:spacing w:after="0" w:line="246" w:lineRule="auto"/>
        <w:tabs>
          <w:tab w:leader="none" w:pos="2144"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Source of Shares. </w:t>
      </w:r>
      <w:r>
        <w:rPr>
          <w:rFonts w:ascii="Times New Roman" w:cs="Times New Roman" w:eastAsia="Times New Roman" w:hAnsi="Times New Roman"/>
          <w:sz w:val="22"/>
          <w:szCs w:val="22"/>
          <w:color w:val="auto"/>
        </w:rPr>
        <w:t>The stock issuable under this Plan will be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but unissued or reacquired Common Stock, including shares repurchased by the Company on the open market or otherwise.</w:t>
      </w:r>
    </w:p>
    <w:p>
      <w:pPr>
        <w:spacing w:after="0" w:line="167"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Eligibility for Specific Awards. </w:t>
      </w:r>
      <w:r>
        <w:rPr>
          <w:rFonts w:ascii="Times New Roman" w:cs="Times New Roman" w:eastAsia="Times New Roman" w:hAnsi="Times New Roman"/>
          <w:sz w:val="22"/>
          <w:szCs w:val="22"/>
          <w:color w:val="auto"/>
        </w:rPr>
        <w:t>Awards may only be granted to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who are Eligible Employees described in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of this Plan, where the Award is an inducement material to the individual’s entering into employment with the Company or an Affiliate within the meaning of Rule 5635(c)(4) of the Nasdaq Marketplace Rules or is otherwise permitted pursuant to Rule 5635(c) of the Nasdaq Marketplace Rules,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Awards may not be granted to Eligible Employees who are providing Continuous Service only to any “parent” of the Company, as such term is defined in Rule 405 of the Securities Act, unless (i) the stock underlying such Awards is treated as “service recipient stock” under Section 409A of the Code (for example, because the Awards are granted pursuant to a corporate transaction such as a spin off transaction), (ii) the Company, in consultation with its legal counsel, has determined that such Awards are otherwise exempt from Section 409A of the Code, or (iii) the Company, in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3" w:name="page194"/>
    <w:bookmarkEnd w:id="193"/>
    <w:p>
      <w:pPr>
        <w:ind w:left="200" w:right="239"/>
        <w:spacing w:after="0" w:line="259" w:lineRule="auto"/>
        <w:rPr>
          <w:sz w:val="20"/>
          <w:szCs w:val="20"/>
          <w:color w:val="auto"/>
        </w:rPr>
      </w:pPr>
      <w:r>
        <w:rPr>
          <w:rFonts w:ascii="Times New Roman" w:cs="Times New Roman" w:eastAsia="Times New Roman" w:hAnsi="Times New Roman"/>
          <w:sz w:val="22"/>
          <w:szCs w:val="22"/>
          <w:color w:val="auto"/>
        </w:rPr>
        <w:t>consultation with its legal counsel, has determined that such Awards comply with the distribution requirements of Section 409A of the Code.</w:t>
      </w:r>
    </w:p>
    <w:p>
      <w:pPr>
        <w:spacing w:after="0" w:line="153" w:lineRule="exact"/>
        <w:rPr>
          <w:sz w:val="20"/>
          <w:szCs w:val="20"/>
          <w:color w:val="auto"/>
        </w:rPr>
      </w:pPr>
    </w:p>
    <w:p>
      <w:pPr>
        <w:ind w:left="200" w:right="219" w:firstLine="1305"/>
        <w:spacing w:after="0" w:line="262" w:lineRule="auto"/>
        <w:tabs>
          <w:tab w:leader="none" w:pos="2144" w:val="left"/>
        </w:tabs>
        <w:numPr>
          <w:ilvl w:val="1"/>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Approval Requirements. </w:t>
      </w:r>
      <w:r>
        <w:rPr>
          <w:rFonts w:ascii="Times New Roman" w:cs="Times New Roman" w:eastAsia="Times New Roman" w:hAnsi="Times New Roman"/>
          <w:sz w:val="22"/>
          <w:szCs w:val="22"/>
          <w:color w:val="auto"/>
        </w:rPr>
        <w:t>All Awards must be granted either by a majority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Company’s independent directors or the Independent Compensation Committee.</w:t>
      </w:r>
    </w:p>
    <w:p>
      <w:pPr>
        <w:spacing w:after="0" w:line="149"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 relating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Option or</w:t>
      </w:r>
    </w:p>
    <w:p>
      <w:pPr>
        <w:spacing w:after="0" w:line="18"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SAR will be in such form and will contain such terms and conditions as the Board deems appropriate. All Options will be Nonstatutory Stock Options at the time of grant. The provisions of separate Options or SARs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Award Agreement will conform to (through incorporation of provisions hereof by reference in the applicable Award Agreement or otherwise) the substance of each of the following provisions:</w:t>
      </w:r>
    </w:p>
    <w:p>
      <w:pPr>
        <w:spacing w:after="0" w:line="175" w:lineRule="exact"/>
        <w:rPr>
          <w:sz w:val="20"/>
          <w:szCs w:val="20"/>
          <w:color w:val="auto"/>
        </w:rPr>
      </w:pPr>
    </w:p>
    <w:p>
      <w:pPr>
        <w:ind w:left="200" w:right="219" w:firstLine="1305"/>
        <w:spacing w:after="0" w:line="262" w:lineRule="auto"/>
        <w:tabs>
          <w:tab w:leader="none" w:pos="2144"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No Option or SAR will be exercisable after the expiration of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years from the date of its grant or such shorter period specified in the Award Agreement.</w:t>
      </w:r>
    </w:p>
    <w:p>
      <w:pPr>
        <w:spacing w:after="0" w:line="149"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Price. </w:t>
      </w:r>
      <w:r>
        <w:rPr>
          <w:rFonts w:ascii="Times New Roman" w:cs="Times New Roman" w:eastAsia="Times New Roman" w:hAnsi="Times New Roman"/>
          <w:sz w:val="22"/>
          <w:szCs w:val="22"/>
          <w:color w:val="auto"/>
        </w:rPr>
        <w:t>The exercise or strike price of each Option or SAR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Each SAR will be denominated in shares of Common Stock equivalents.</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1305"/>
        <w:spacing w:after="0" w:line="236" w:lineRule="auto"/>
        <w:tabs>
          <w:tab w:leader="none" w:pos="2144"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Purchase Price for Options. </w:t>
      </w:r>
      <w:r>
        <w:rPr>
          <w:rFonts w:ascii="Times New Roman" w:cs="Times New Roman" w:eastAsia="Times New Roman" w:hAnsi="Times New Roman"/>
          <w:sz w:val="22"/>
          <w:szCs w:val="22"/>
          <w:color w:val="auto"/>
        </w:rPr>
        <w:t>The purchase price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79"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1"/>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cash, check, bank draft or money order payable to the Company;</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953"/>
        <w:spacing w:after="0" w:line="255" w:lineRule="auto"/>
        <w:tabs>
          <w:tab w:leader="none" w:pos="2792" w:val="left"/>
        </w:tabs>
        <w:numPr>
          <w:ilvl w:val="1"/>
          <w:numId w:val="2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61" w:lineRule="exact"/>
        <w:rPr>
          <w:rFonts w:ascii="Times New Roman" w:cs="Times New Roman" w:eastAsia="Times New Roman" w:hAnsi="Times New Roman"/>
          <w:sz w:val="21"/>
          <w:szCs w:val="21"/>
          <w:b w:val="1"/>
          <w:bCs w:val="1"/>
          <w:color w:val="auto"/>
        </w:rPr>
      </w:pPr>
    </w:p>
    <w:p>
      <w:pPr>
        <w:ind w:left="2800" w:hanging="647"/>
        <w:spacing w:after="0"/>
        <w:tabs>
          <w:tab w:leader="none" w:pos="2800" w:val="left"/>
        </w:tabs>
        <w:numPr>
          <w:ilvl w:val="1"/>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delivery to the Company (either by actual delivery or attestation)</w:t>
      </w:r>
    </w:p>
    <w:p>
      <w:pPr>
        <w:spacing w:after="0" w:line="14"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of shares of Common Stock;</w:t>
      </w:r>
    </w:p>
    <w:p>
      <w:pPr>
        <w:spacing w:after="0" w:line="182" w:lineRule="exact"/>
        <w:rPr>
          <w:rFonts w:ascii="Times New Roman" w:cs="Times New Roman" w:eastAsia="Times New Roman" w:hAnsi="Times New Roman"/>
          <w:sz w:val="22"/>
          <w:szCs w:val="22"/>
          <w:b w:val="1"/>
          <w:bCs w:val="1"/>
          <w:color w:val="auto"/>
        </w:rPr>
      </w:pPr>
    </w:p>
    <w:p>
      <w:pPr>
        <w:jc w:val="both"/>
        <w:ind w:left="200" w:right="239" w:firstLine="1953"/>
        <w:spacing w:after="0" w:line="244" w:lineRule="auto"/>
        <w:tabs>
          <w:tab w:leader="none" w:pos="2792" w:val="left"/>
        </w:tabs>
        <w:numPr>
          <w:ilvl w:val="1"/>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a “net exercise” arrangement pursuant to which the Company will reduce the number of shares of Common Stock issuable upon exercise by the largest whole number of shares with a Fair Market Value that does not exceed the aggregate exercise price;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4" w:name="page195"/>
    <w:bookmarkEnd w:id="194"/>
    <w:p>
      <w:pPr>
        <w:jc w:val="both"/>
        <w:ind w:left="200" w:right="219"/>
        <w:spacing w:after="0" w:line="236" w:lineRule="auto"/>
        <w:rPr>
          <w:sz w:val="20"/>
          <w:szCs w:val="20"/>
          <w:color w:val="auto"/>
        </w:rPr>
      </w:pP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will accept a cash or other payment from the Participant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78" w:lineRule="exact"/>
        <w:rPr>
          <w:sz w:val="20"/>
          <w:szCs w:val="20"/>
          <w:color w:val="auto"/>
        </w:rPr>
      </w:pPr>
    </w:p>
    <w:p>
      <w:pPr>
        <w:ind w:left="200" w:right="219" w:firstLine="1953"/>
        <w:spacing w:after="0" w:line="258" w:lineRule="auto"/>
        <w:tabs>
          <w:tab w:leader="none" w:pos="2792" w:val="left"/>
        </w:tabs>
        <w:numPr>
          <w:ilvl w:val="2"/>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other form of legal consideration that may be acceptable to the Board and specified in the applicable Award Agreement.</w:t>
      </w:r>
    </w:p>
    <w:p>
      <w:pPr>
        <w:spacing w:after="0" w:line="154" w:lineRule="exact"/>
        <w:rPr>
          <w:rFonts w:ascii="Times New Roman" w:cs="Times New Roman" w:eastAsia="Times New Roman" w:hAnsi="Times New Roman"/>
          <w:sz w:val="22"/>
          <w:szCs w:val="22"/>
          <w:b w:val="1"/>
          <w:bCs w:val="1"/>
          <w:color w:val="auto"/>
        </w:rPr>
      </w:pPr>
    </w:p>
    <w:p>
      <w:pPr>
        <w:jc w:val="both"/>
        <w:ind w:left="200" w:right="219" w:firstLine="1305"/>
        <w:spacing w:after="0" w:line="233" w:lineRule="auto"/>
        <w:tabs>
          <w:tab w:leader="none" w:pos="2144" w:val="left"/>
        </w:tabs>
        <w:numPr>
          <w:ilvl w:val="1"/>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Exercise and Payment of a SAR. </w:t>
      </w:r>
      <w:r>
        <w:rPr>
          <w:rFonts w:ascii="Times New Roman" w:cs="Times New Roman" w:eastAsia="Times New Roman" w:hAnsi="Times New Roman"/>
          <w:sz w:val="22"/>
          <w:szCs w:val="22"/>
          <w:color w:val="auto"/>
        </w:rPr>
        <w:t>To exercise any outstanding SAR,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84"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1"/>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of Options and SARs. </w:t>
      </w:r>
      <w:r>
        <w:rPr>
          <w:rFonts w:ascii="Times New Roman" w:cs="Times New Roman" w:eastAsia="Times New Roman" w:hAnsi="Times New Roman"/>
          <w:sz w:val="22"/>
          <w:szCs w:val="22"/>
          <w:color w:val="auto"/>
        </w:rPr>
        <w:t>The Board may,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impose such limitations on the transferability of Options and SARs as the Board will determine. In the absence of such a determination by the Board to the contrary, the following restrictions on the transferability of Options and SARs will apply:</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953"/>
        <w:spacing w:after="0" w:line="243" w:lineRule="auto"/>
        <w:tabs>
          <w:tab w:leader="none" w:pos="2792" w:val="left"/>
        </w:tabs>
        <w:numPr>
          <w:ilvl w:val="2"/>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on Transfer. </w:t>
      </w:r>
      <w:r>
        <w:rPr>
          <w:rFonts w:ascii="Times New Roman" w:cs="Times New Roman" w:eastAsia="Times New Roman" w:hAnsi="Times New Roman"/>
          <w:sz w:val="22"/>
          <w:szCs w:val="22"/>
          <w:color w:val="auto"/>
        </w:rPr>
        <w:t>An Option or SAR will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transferable except by will or by the laws of descent and distribution (or pursuant to subsections</w:t>
      </w:r>
    </w:p>
    <w:p>
      <w:pPr>
        <w:spacing w:after="0" w:line="1" w:lineRule="exact"/>
        <w:rPr>
          <w:rFonts w:ascii="Times New Roman" w:cs="Times New Roman" w:eastAsia="Times New Roman" w:hAnsi="Times New Roman"/>
          <w:sz w:val="22"/>
          <w:szCs w:val="22"/>
          <w:b w:val="1"/>
          <w:bCs w:val="1"/>
          <w:color w:val="auto"/>
        </w:rPr>
      </w:pPr>
    </w:p>
    <w:p>
      <w:pPr>
        <w:jc w:val="both"/>
        <w:ind w:left="200" w:right="219" w:firstLine="9"/>
        <w:spacing w:after="0" w:line="234" w:lineRule="auto"/>
        <w:tabs>
          <w:tab w:leader="none" w:pos="555"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(iii) below), and will be exercisable during the lifetime of the Participant only by the Participant. The Board may permit transfer of the Option or SAR in a manner that is not prohibited by applicable tax and securities laws. Except as explicitly provided in this Plan, neither an Option nor a SAR may be transferred for consideration.</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1" w:lineRule="auto"/>
        <w:tabs>
          <w:tab w:leader="none" w:pos="2792" w:val="left"/>
        </w:tabs>
        <w:numPr>
          <w:ilvl w:val="2"/>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Subject to the approval of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 duly authorized Officer, an Option or SAR may be transferred pursuant to the terms of a domestic relations order, official marital settlement agreement or other divorce or separation instrument.</w:t>
      </w:r>
    </w:p>
    <w:p>
      <w:pPr>
        <w:spacing w:after="0" w:line="172" w:lineRule="exact"/>
        <w:rPr>
          <w:sz w:val="20"/>
          <w:szCs w:val="20"/>
          <w:color w:val="auto"/>
        </w:rPr>
      </w:pPr>
    </w:p>
    <w:p>
      <w:pPr>
        <w:jc w:val="both"/>
        <w:ind w:left="200" w:right="219" w:firstLine="1953"/>
        <w:spacing w:after="0" w:line="237" w:lineRule="auto"/>
        <w:tabs>
          <w:tab w:leader="none" w:pos="2792"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Subject to the approval of the Board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5" w:name="page196"/>
    <w:bookmarkEnd w:id="195"/>
    <w:p>
      <w:pPr>
        <w:jc w:val="both"/>
        <w:ind w:left="200" w:right="219"/>
        <w:spacing w:after="0"/>
        <w:rPr>
          <w:sz w:val="20"/>
          <w:szCs w:val="20"/>
          <w:color w:val="auto"/>
        </w:rPr>
      </w:pPr>
      <w:r>
        <w:rPr>
          <w:rFonts w:ascii="Times New Roman" w:cs="Times New Roman" w:eastAsia="Times New Roman" w:hAnsi="Times New Roman"/>
          <w:sz w:val="22"/>
          <w:szCs w:val="22"/>
          <w:color w:val="auto"/>
        </w:rPr>
        <w:t>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3" w:lineRule="exact"/>
        <w:rPr>
          <w:sz w:val="20"/>
          <w:szCs w:val="20"/>
          <w:color w:val="auto"/>
        </w:rPr>
      </w:pPr>
    </w:p>
    <w:p>
      <w:pPr>
        <w:jc w:val="both"/>
        <w:ind w:left="200" w:right="219" w:firstLine="1305"/>
        <w:spacing w:after="0" w:line="235" w:lineRule="auto"/>
        <w:tabs>
          <w:tab w:leader="none" w:pos="2144"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Generally. </w:t>
      </w:r>
      <w:r>
        <w:rPr>
          <w:rFonts w:ascii="Times New Roman" w:cs="Times New Roman" w:eastAsia="Times New Roman" w:hAnsi="Times New Roman"/>
          <w:sz w:val="22"/>
          <w:szCs w:val="22"/>
          <w:color w:val="auto"/>
        </w:rPr>
        <w:t>The total number of shares of Common Stock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w:t>
      </w:r>
      <w:r>
        <w:rPr>
          <w:rFonts w:ascii="Times New Roman" w:cs="Times New Roman" w:eastAsia="Times New Roman" w:hAnsi="Times New Roman"/>
          <w:sz w:val="22"/>
          <w:szCs w:val="22"/>
          <w:u w:val="single" w:color="auto"/>
          <w:color w:val="auto"/>
        </w:rPr>
        <w:t>Section 5(f)</w:t>
      </w:r>
      <w:r>
        <w:rPr>
          <w:rFonts w:ascii="Times New Roman" w:cs="Times New Roman" w:eastAsia="Times New Roman" w:hAnsi="Times New Roman"/>
          <w:sz w:val="22"/>
          <w:szCs w:val="22"/>
          <w:color w:val="auto"/>
        </w:rPr>
        <w:t xml:space="preserve"> are subject to any Option or SAR provisions governing the minimum number of shares of Common Stock as to which an Option or SAR may be exercised.</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1305"/>
        <w:spacing w:after="0" w:line="233" w:lineRule="auto"/>
        <w:tabs>
          <w:tab w:leader="none" w:pos="2144"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Continuous Service. </w:t>
      </w:r>
      <w:r>
        <w:rPr>
          <w:rFonts w:ascii="Times New Roman" w:cs="Times New Roman" w:eastAsia="Times New Roman" w:hAnsi="Times New Roman"/>
          <w:sz w:val="22"/>
          <w:szCs w:val="22"/>
          <w:color w:val="auto"/>
        </w:rPr>
        <w:t>Except as otherwise provided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three (3) months following the termination of the Participant’s Continuous Service (or such longer or shorter period specified in the applicable Award Agreement, which period will not be less than thirty (30) days if necessary to comply with applicable laws unless such termination is for Cause)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84" w:lineRule="exact"/>
        <w:rPr>
          <w:rFonts w:ascii="Times New Roman" w:cs="Times New Roman" w:eastAsia="Times New Roman" w:hAnsi="Times New Roman"/>
          <w:sz w:val="22"/>
          <w:szCs w:val="22"/>
          <w:b w:val="1"/>
          <w:bCs w:val="1"/>
          <w:color w:val="auto"/>
        </w:rPr>
      </w:pPr>
    </w:p>
    <w:p>
      <w:pPr>
        <w:jc w:val="both"/>
        <w:ind w:left="200" w:right="219" w:firstLine="1305"/>
        <w:spacing w:after="0" w:line="232" w:lineRule="auto"/>
        <w:tabs>
          <w:tab w:leader="none" w:pos="2144" w:val="left"/>
        </w:tabs>
        <w:numPr>
          <w:ilvl w:val="0"/>
          <w:numId w:val="2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Extension of Termination Date. </w:t>
      </w:r>
      <w:r>
        <w:rPr>
          <w:rFonts w:ascii="Times New Roman" w:cs="Times New Roman" w:eastAsia="Times New Roman" w:hAnsi="Times New Roman"/>
          <w:sz w:val="22"/>
          <w:szCs w:val="22"/>
          <w:color w:val="auto"/>
        </w:rPr>
        <w:t>Except as otherwise provided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Award Agreement or other written agreement 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6" w:name="page197"/>
    <w:bookmarkEnd w:id="196"/>
    <w:p>
      <w:pPr>
        <w:jc w:val="both"/>
        <w:ind w:left="200" w:right="219" w:firstLine="1305"/>
        <w:spacing w:after="0" w:line="246" w:lineRule="auto"/>
        <w:tabs>
          <w:tab w:leader="none" w:pos="2144" w:val="left"/>
        </w:tabs>
        <w:numPr>
          <w:ilvl w:val="1"/>
          <w:numId w:val="2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Disability of Participant. </w:t>
      </w:r>
      <w:r>
        <w:rPr>
          <w:rFonts w:ascii="Times New Roman" w:cs="Times New Roman" w:eastAsia="Times New Roman" w:hAnsi="Times New Roman"/>
          <w:sz w:val="21"/>
          <w:szCs w:val="21"/>
          <w:color w:val="auto"/>
        </w:rPr>
        <w:t>Except as otherwise provided in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which period will not be less than six (6) months if necessary to comply with applicable laws)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66" w:lineRule="exact"/>
        <w:rPr>
          <w:rFonts w:ascii="Times New Roman" w:cs="Times New Roman" w:eastAsia="Times New Roman" w:hAnsi="Times New Roman"/>
          <w:sz w:val="21"/>
          <w:szCs w:val="21"/>
          <w:b w:val="1"/>
          <w:bCs w:val="1"/>
          <w:color w:val="auto"/>
        </w:rPr>
      </w:pPr>
    </w:p>
    <w:p>
      <w:pPr>
        <w:jc w:val="both"/>
        <w:ind w:left="200" w:right="219" w:firstLine="1305"/>
        <w:spacing w:after="0" w:line="244" w:lineRule="auto"/>
        <w:tabs>
          <w:tab w:leader="none" w:pos="2144" w:val="left"/>
        </w:tabs>
        <w:numPr>
          <w:ilvl w:val="1"/>
          <w:numId w:val="2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Death of Participant. </w:t>
      </w:r>
      <w:r>
        <w:rPr>
          <w:rFonts w:ascii="Times New Roman" w:cs="Times New Roman" w:eastAsia="Times New Roman" w:hAnsi="Times New Roman"/>
          <w:sz w:val="21"/>
          <w:szCs w:val="21"/>
          <w:color w:val="auto"/>
        </w:rPr>
        <w:t>Except as otherwise provided in the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which period will not be less than six (6) months if necessary to comply with the applicable laws) and (ii) the expiration of the term of such Option or SAR as set forth in the Award Agreement. If, after the Participant’s death, the Option or SAR is not exercised within the applicable time frame, the Option or SAR (as applicable) will terminate.</w:t>
      </w:r>
    </w:p>
    <w:p>
      <w:pPr>
        <w:spacing w:after="0" w:line="180" w:lineRule="exact"/>
        <w:rPr>
          <w:rFonts w:ascii="Times New Roman" w:cs="Times New Roman" w:eastAsia="Times New Roman" w:hAnsi="Times New Roman"/>
          <w:sz w:val="21"/>
          <w:szCs w:val="21"/>
          <w:b w:val="1"/>
          <w:bCs w:val="1"/>
          <w:color w:val="auto"/>
        </w:rPr>
      </w:pPr>
    </w:p>
    <w:p>
      <w:pPr>
        <w:jc w:val="both"/>
        <w:ind w:left="200" w:right="219" w:firstLine="1305"/>
        <w:spacing w:after="0" w:line="237" w:lineRule="auto"/>
        <w:tabs>
          <w:tab w:leader="none" w:pos="2144" w:val="left"/>
        </w:tabs>
        <w:numPr>
          <w:ilvl w:val="1"/>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Cause. </w:t>
      </w:r>
      <w:r>
        <w:rPr>
          <w:rFonts w:ascii="Times New Roman" w:cs="Times New Roman" w:eastAsia="Times New Roman" w:hAnsi="Times New Roman"/>
          <w:sz w:val="22"/>
          <w:szCs w:val="22"/>
          <w:color w:val="auto"/>
        </w:rPr>
        <w:t>Except as explicitly provided otherwise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305"/>
        <w:spacing w:after="0" w:line="250" w:lineRule="auto"/>
        <w:tabs>
          <w:tab w:leader="none" w:pos="2144" w:val="left"/>
        </w:tabs>
        <w:numPr>
          <w:ilvl w:val="1"/>
          <w:numId w:val="2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Non-Exempt Employees. </w:t>
      </w:r>
      <w:r>
        <w:rPr>
          <w:rFonts w:ascii="Times New Roman" w:cs="Times New Roman" w:eastAsia="Times New Roman" w:hAnsi="Times New Roman"/>
          <w:sz w:val="21"/>
          <w:szCs w:val="21"/>
          <w:color w:val="auto"/>
        </w:rPr>
        <w:t>If an Option or SAR is granted to an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who is a non-exempt employee for purposes of the Fair Labor Standards Act of 1938, as amended, the Option or SAR will not be first exercisable for any shares of Common Stock until at least six</w:t>
      </w:r>
    </w:p>
    <w:p>
      <w:pPr>
        <w:spacing w:after="0" w:line="2" w:lineRule="exact"/>
        <w:rPr>
          <w:rFonts w:ascii="Times New Roman" w:cs="Times New Roman" w:eastAsia="Times New Roman" w:hAnsi="Times New Roman"/>
          <w:sz w:val="21"/>
          <w:szCs w:val="21"/>
          <w:b w:val="1"/>
          <w:bCs w:val="1"/>
          <w:color w:val="auto"/>
        </w:rPr>
      </w:pPr>
    </w:p>
    <w:p>
      <w:pPr>
        <w:jc w:val="both"/>
        <w:ind w:left="200" w:right="219" w:firstLine="9"/>
        <w:spacing w:after="0" w:line="232" w:lineRule="auto"/>
        <w:tabs>
          <w:tab w:leader="none" w:pos="50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7" w:name="page198"/>
    <w:bookmarkEnd w:id="197"/>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w:t>
      </w:r>
      <w:r>
        <w:rPr>
          <w:rFonts w:ascii="Times New Roman" w:cs="Times New Roman" w:eastAsia="Times New Roman" w:hAnsi="Times New Roman"/>
          <w:sz w:val="22"/>
          <w:szCs w:val="22"/>
          <w:u w:val="single" w:color="auto"/>
          <w:color w:val="auto"/>
        </w:rPr>
        <w:t>Section 5(l)</w:t>
      </w:r>
      <w:r>
        <w:rPr>
          <w:rFonts w:ascii="Times New Roman" w:cs="Times New Roman" w:eastAsia="Times New Roman" w:hAnsi="Times New Roman"/>
          <w:sz w:val="22"/>
          <w:szCs w:val="22"/>
          <w:color w:val="auto"/>
        </w:rPr>
        <w:t xml:space="preserve"> will apply to all Awards and are hereby incorporated by reference into such Award Agreements.</w:t>
      </w:r>
    </w:p>
    <w:p>
      <w:pPr>
        <w:spacing w:after="0" w:line="175" w:lineRule="exact"/>
        <w:rPr>
          <w:sz w:val="20"/>
          <w:szCs w:val="20"/>
          <w:color w:val="auto"/>
        </w:rPr>
      </w:pPr>
    </w:p>
    <w:p>
      <w:pPr>
        <w:ind w:left="1500" w:hanging="643"/>
        <w:spacing w:after="0"/>
        <w:tabs>
          <w:tab w:leader="none" w:pos="1500"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 than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SAR</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46" w:lineRule="auto"/>
        <w:tabs>
          <w:tab w:leader="none" w:pos="2144" w:val="left"/>
        </w:tabs>
        <w:numPr>
          <w:ilvl w:val="1"/>
          <w:numId w:val="2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Restricted Stock Awards. </w:t>
      </w:r>
      <w:r>
        <w:rPr>
          <w:rFonts w:ascii="Times New Roman" w:cs="Times New Roman" w:eastAsia="Times New Roman" w:hAnsi="Times New Roman"/>
          <w:sz w:val="21"/>
          <w:szCs w:val="21"/>
          <w:color w:val="auto"/>
        </w:rPr>
        <w:t>Each Restricted Stock Award Agreement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such form and will contain such terms and conditions as the Board deems appropriate. To the extent consistent with the Company’s bylaws, at the Board’s election, shares of Common Stock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70" w:lineRule="exact"/>
        <w:rPr>
          <w:rFonts w:ascii="Times New Roman" w:cs="Times New Roman" w:eastAsia="Times New Roman" w:hAnsi="Times New Roman"/>
          <w:sz w:val="21"/>
          <w:szCs w:val="21"/>
          <w:b w:val="1"/>
          <w:bCs w:val="1"/>
          <w:color w:val="auto"/>
        </w:rPr>
      </w:pPr>
    </w:p>
    <w:p>
      <w:pPr>
        <w:jc w:val="both"/>
        <w:ind w:left="200" w:right="219" w:firstLine="1953"/>
        <w:spacing w:after="0" w:line="241" w:lineRule="auto"/>
        <w:tabs>
          <w:tab w:leader="none" w:pos="2792" w:val="left"/>
        </w:tabs>
        <w:numPr>
          <w:ilvl w:val="2"/>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 Restricted Stock Award may be awarded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for (A) cash, check, bank draft or money order payable to the Company, (B) past or future services to the Company or an Affiliate, or (C) any other form of legal consideration that may be acceptable to the Board, in its sole discretion, and permissible under applicable law.</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953"/>
        <w:spacing w:after="0" w:line="246" w:lineRule="auto"/>
        <w:tabs>
          <w:tab w:leader="none" w:pos="2792" w:val="left"/>
        </w:tabs>
        <w:numPr>
          <w:ilvl w:val="2"/>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Shares of Common Stock awarded under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Award Agreement may be subject to forfeiture to the Company in accordance with a vesting schedule to be determined by the Board.</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2"/>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Participant’s Continuous Service. </w:t>
      </w:r>
      <w:r>
        <w:rPr>
          <w:rFonts w:ascii="Times New Roman" w:cs="Times New Roman" w:eastAsia="Times New Roman" w:hAnsi="Times New Roman"/>
          <w:sz w:val="22"/>
          <w:szCs w:val="22"/>
          <w:color w:val="auto"/>
        </w:rPr>
        <w:t>If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Continuous Service terminates, the Company may receive through a forfeiture condition or a repurchase right any or all of the shares of Common Stock held by the Participant as of the date of termination of Continuous Service under the terms of the Restricted Stock Award Agreement.</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2"/>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Rights to acquire shares of Common Stock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1953"/>
        <w:spacing w:after="0" w:line="246" w:lineRule="auto"/>
        <w:tabs>
          <w:tab w:leader="none" w:pos="2792" w:val="left"/>
        </w:tabs>
        <w:numPr>
          <w:ilvl w:val="2"/>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A Restricted Stock Award Agreement may provide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dividends paid on Restricted Stock will be subject to the same vesting and forfeiture restrictions as apply to the shares subject to the Restricted Stock Award to which they relate.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8" w:name="page199"/>
    <w:bookmarkEnd w:id="198"/>
    <w:p>
      <w:pPr>
        <w:jc w:val="both"/>
        <w:ind w:left="200" w:right="219" w:firstLine="1305"/>
        <w:spacing w:after="0" w:line="236" w:lineRule="auto"/>
        <w:tabs>
          <w:tab w:leader="none" w:pos="2144"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Restricted Stock Unit Awards. </w:t>
      </w:r>
      <w:r>
        <w:rPr>
          <w:rFonts w:ascii="Times New Roman" w:cs="Times New Roman" w:eastAsia="Times New Roman" w:hAnsi="Times New Roman"/>
          <w:sz w:val="22"/>
          <w:szCs w:val="22"/>
          <w:color w:val="auto"/>
        </w:rPr>
        <w:t>Each 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in such form and will contain such terms and 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1953"/>
        <w:spacing w:after="0" w:line="237" w:lineRule="auto"/>
        <w:tabs>
          <w:tab w:leader="none" w:pos="2792"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At the time of grant of a Restricted Stock Unit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953"/>
        <w:spacing w:after="0" w:line="246" w:lineRule="auto"/>
        <w:tabs>
          <w:tab w:leader="none" w:pos="2792"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At the time of the grant of a 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impose such restrictions on or conditions to the vesting of the Restricted Stock Unit Award as it, in its sole discretion, deems appropriate.</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1953"/>
        <w:spacing w:after="0" w:line="241" w:lineRule="auto"/>
        <w:tabs>
          <w:tab w:leader="none" w:pos="2792"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w:t>
      </w:r>
      <w:r>
        <w:rPr>
          <w:rFonts w:ascii="Times New Roman" w:cs="Times New Roman" w:eastAsia="Times New Roman" w:hAnsi="Times New Roman"/>
          <w:sz w:val="22"/>
          <w:szCs w:val="22"/>
          <w:color w:val="auto"/>
        </w:rPr>
        <w:t>A Restricted Stock Unit Award may be settled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of shares of Common Stock, their cash equivalent, any combination thereof or in any other form of consideration, as determined by the Board and contained in the Restricted Stock Unit Award Agreement.</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953"/>
        <w:spacing w:after="0" w:line="241" w:lineRule="auto"/>
        <w:tabs>
          <w:tab w:leader="none" w:pos="2792"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Restrictions. </w:t>
      </w:r>
      <w:r>
        <w:rPr>
          <w:rFonts w:ascii="Times New Roman" w:cs="Times New Roman" w:eastAsia="Times New Roman" w:hAnsi="Times New Roman"/>
          <w:sz w:val="22"/>
          <w:szCs w:val="22"/>
          <w:color w:val="auto"/>
        </w:rPr>
        <w:t>At the time of the grant of a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953"/>
        <w:spacing w:after="0" w:line="235" w:lineRule="auto"/>
        <w:tabs>
          <w:tab w:leader="none" w:pos="2792"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Dividend equivalents may be credited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Participant’s Continuous Service. </w:t>
      </w:r>
      <w:r>
        <w:rPr>
          <w:rFonts w:ascii="Times New Roman" w:cs="Times New Roman" w:eastAsia="Times New Roman" w:hAnsi="Times New Roman"/>
          <w:sz w:val="22"/>
          <w:szCs w:val="22"/>
          <w:color w:val="auto"/>
        </w:rPr>
        <w:t>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provided in the applicable Restricted Stock Unit Award Agreement or other written agreement between a Participant and the Company or an Affiliate, such portion of the Restricted Stock Unit Award that has not vested will be forfeited upon the Participant’s termination of Continuous Service.</w:t>
      </w:r>
    </w:p>
    <w:p>
      <w:pPr>
        <w:spacing w:after="0" w:line="176"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9" w:name="page200"/>
    <w:bookmarkEnd w:id="199"/>
    <w:p>
      <w:pPr>
        <w:jc w:val="both"/>
        <w:ind w:left="200" w:right="219" w:firstLine="1953"/>
        <w:spacing w:after="0" w:line="234" w:lineRule="auto"/>
        <w:tabs>
          <w:tab w:leader="none" w:pos="2792" w:val="left"/>
        </w:tabs>
        <w:numPr>
          <w:ilvl w:val="2"/>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Stock Awards</w:t>
      </w:r>
      <w:r>
        <w:rPr>
          <w:rFonts w:ascii="Times New Roman" w:cs="Times New Roman" w:eastAsia="Times New Roman" w:hAnsi="Times New Roman"/>
          <w:sz w:val="22"/>
          <w:szCs w:val="22"/>
          <w:color w:val="auto"/>
        </w:rPr>
        <w:t>. A Performance Stock Award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the Committee may determine that cash may be used in payment of Performance Stock Awards.</w:t>
      </w:r>
    </w:p>
    <w:p>
      <w:pPr>
        <w:spacing w:after="0" w:line="180" w:lineRule="exact"/>
        <w:rPr>
          <w:rFonts w:ascii="Times New Roman" w:cs="Times New Roman" w:eastAsia="Times New Roman" w:hAnsi="Times New Roman"/>
          <w:sz w:val="22"/>
          <w:szCs w:val="22"/>
          <w:b w:val="1"/>
          <w:bCs w:val="1"/>
          <w:color w:val="auto"/>
        </w:rPr>
      </w:pPr>
    </w:p>
    <w:p>
      <w:pPr>
        <w:jc w:val="both"/>
        <w:ind w:left="200" w:right="219" w:firstLine="1953"/>
        <w:spacing w:after="0" w:line="234" w:lineRule="auto"/>
        <w:tabs>
          <w:tab w:leader="none" w:pos="2792" w:val="left"/>
        </w:tabs>
        <w:numPr>
          <w:ilvl w:val="2"/>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Cash Awards</w:t>
      </w:r>
      <w:r>
        <w:rPr>
          <w:rFonts w:ascii="Times New Roman" w:cs="Times New Roman" w:eastAsia="Times New Roman" w:hAnsi="Times New Roman"/>
          <w:sz w:val="22"/>
          <w:szCs w:val="22"/>
          <w:color w:val="auto"/>
        </w:rPr>
        <w:t>. A Performance Cash Award is a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953"/>
        <w:spacing w:after="0" w:line="236" w:lineRule="auto"/>
        <w:tabs>
          <w:tab w:leader="none" w:pos="2792" w:val="left"/>
        </w:tabs>
        <w:numPr>
          <w:ilvl w:val="2"/>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Discretion</w:t>
      </w:r>
      <w:r>
        <w:rPr>
          <w:rFonts w:ascii="Times New Roman" w:cs="Times New Roman" w:eastAsia="Times New Roman" w:hAnsi="Times New Roman"/>
          <w:sz w:val="22"/>
          <w:szCs w:val="22"/>
          <w:color w:val="auto"/>
        </w:rPr>
        <w:t>. A majority of the Company’s Independent Directors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Independent Compensation Committee retains the 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Award Agreement or the written terms of a Performance Cash Award.</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Stock Awards</w:t>
      </w:r>
      <w:r>
        <w:rPr>
          <w:rFonts w:ascii="Times New Roman" w:cs="Times New Roman" w:eastAsia="Times New Roman" w:hAnsi="Times New Roman"/>
          <w:sz w:val="22"/>
          <w:szCs w:val="22"/>
          <w:color w:val="auto"/>
        </w:rPr>
        <w:t>. Other forms of Stock Awards valued in whole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Awards provided for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and the preceding provisions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Subject to the provisions of this Plan, a majority of the Company’s Independent Directors or the Independent Compensation Committee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79"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200" w:right="219" w:firstLine="1305"/>
        <w:spacing w:after="0" w:line="262" w:lineRule="auto"/>
        <w:tabs>
          <w:tab w:leader="none" w:pos="2144" w:val="left"/>
        </w:tabs>
        <w:numPr>
          <w:ilvl w:val="1"/>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Availability of Shares. </w:t>
      </w:r>
      <w:r>
        <w:rPr>
          <w:rFonts w:ascii="Times New Roman" w:cs="Times New Roman" w:eastAsia="Times New Roman" w:hAnsi="Times New Roman"/>
          <w:sz w:val="22"/>
          <w:szCs w:val="22"/>
          <w:color w:val="auto"/>
        </w:rPr>
        <w:t>The Company will keep available at all times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of Common Stock reasonably required to satisfy then-outstanding Awards.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0" w:name="page201"/>
    <w:bookmarkEnd w:id="200"/>
    <w:p>
      <w:pPr>
        <w:jc w:val="both"/>
        <w:ind w:left="200" w:right="219" w:firstLine="1305"/>
        <w:spacing w:after="0" w:line="233" w:lineRule="auto"/>
        <w:tabs>
          <w:tab w:leader="none" w:pos="2144" w:val="left"/>
        </w:tabs>
        <w:numPr>
          <w:ilvl w:val="1"/>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Securities Law Compliance. </w:t>
      </w:r>
      <w:r>
        <w:rPr>
          <w:rFonts w:ascii="Times New Roman" w:cs="Times New Roman" w:eastAsia="Times New Roman" w:hAnsi="Times New Roman"/>
          <w:sz w:val="22"/>
          <w:szCs w:val="22"/>
          <w:color w:val="auto"/>
        </w:rPr>
        <w:t>The Company will seek to obtain from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regulatory commission or agency having jurisdiction over this Plan, as necessary, such authority as may be required to grant Awards and to issue and sell shares of Common Stock upon exercise or vesting of the Awards;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undertaking will not require the Company to register under the Securities Act, or other securities or applicable laws, this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this Plan, the Company will be relieved from any liability for failure to issue and sell Common Stock upon exercise or vesting of such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82" w:lineRule="exact"/>
        <w:rPr>
          <w:rFonts w:ascii="Times New Roman" w:cs="Times New Roman" w:eastAsia="Times New Roman" w:hAnsi="Times New Roman"/>
          <w:sz w:val="22"/>
          <w:szCs w:val="22"/>
          <w:b w:val="1"/>
          <w:bCs w:val="1"/>
          <w:color w:val="auto"/>
        </w:rPr>
      </w:pPr>
    </w:p>
    <w:p>
      <w:pPr>
        <w:jc w:val="both"/>
        <w:ind w:left="200" w:right="219" w:firstLine="1305"/>
        <w:spacing w:after="0" w:line="237" w:lineRule="auto"/>
        <w:tabs>
          <w:tab w:leader="none" w:pos="2144" w:val="left"/>
        </w:tabs>
        <w:numPr>
          <w:ilvl w:val="1"/>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Obligation to Notify or Minimize Taxes. </w:t>
      </w:r>
      <w:r>
        <w:rPr>
          <w:rFonts w:ascii="Times New Roman" w:cs="Times New Roman" w:eastAsia="Times New Roman" w:hAnsi="Times New Roman"/>
          <w:sz w:val="22"/>
          <w:szCs w:val="22"/>
          <w:color w:val="auto"/>
        </w:rPr>
        <w:t>The Company will have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duty or obligation to any Participant to advise such holder as to the tax treatment or time or manner of exercising such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5"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ind w:left="200" w:right="239" w:firstLine="1305"/>
        <w:spacing w:after="0" w:line="262" w:lineRule="auto"/>
        <w:tabs>
          <w:tab w:leader="none" w:pos="2144" w:val="left"/>
        </w:tabs>
        <w:numPr>
          <w:ilvl w:val="1"/>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Use of Proceeds from Sales of Common Stock. </w:t>
      </w:r>
      <w:r>
        <w:rPr>
          <w:rFonts w:ascii="Times New Roman" w:cs="Times New Roman" w:eastAsia="Times New Roman" w:hAnsi="Times New Roman"/>
          <w:sz w:val="22"/>
          <w:szCs w:val="22"/>
          <w:color w:val="auto"/>
        </w:rPr>
        <w:t>Proceeds from the sale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pursuant to Awards will constitute general funds of the Company.</w:t>
      </w:r>
    </w:p>
    <w:p>
      <w:pPr>
        <w:spacing w:after="0" w:line="149"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Action Constituting Grant of Awards. </w:t>
      </w:r>
      <w:r>
        <w:rPr>
          <w:rFonts w:ascii="Times New Roman" w:cs="Times New Roman" w:eastAsia="Times New Roman" w:hAnsi="Times New Roman"/>
          <w:sz w:val="22"/>
          <w:szCs w:val="22"/>
          <w:color w:val="auto"/>
        </w:rPr>
        <w:t>Corporate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305"/>
        <w:spacing w:after="0" w:line="237" w:lineRule="auto"/>
        <w:tabs>
          <w:tab w:leader="none" w:pos="2144" w:val="left"/>
        </w:tabs>
        <w:numPr>
          <w:ilvl w:val="1"/>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Stockholder Rights. </w:t>
      </w:r>
      <w:r>
        <w:rPr>
          <w:rFonts w:ascii="Times New Roman" w:cs="Times New Roman" w:eastAsia="Times New Roman" w:hAnsi="Times New Roman"/>
          <w:sz w:val="22"/>
          <w:szCs w:val="22"/>
          <w:color w:val="auto"/>
        </w:rPr>
        <w:t>No Participant will be deemed to be the holder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5" w:lineRule="exact"/>
        <w:rPr>
          <w:rFonts w:ascii="Times New Roman" w:cs="Times New Roman" w:eastAsia="Times New Roman" w:hAnsi="Times New Roman"/>
          <w:sz w:val="22"/>
          <w:szCs w:val="22"/>
          <w:b w:val="1"/>
          <w:bCs w:val="1"/>
          <w:color w:val="auto"/>
        </w:rPr>
      </w:pPr>
    </w:p>
    <w:p>
      <w:pPr>
        <w:ind w:left="200" w:right="239" w:firstLine="1305"/>
        <w:spacing w:after="0" w:line="262" w:lineRule="auto"/>
        <w:tabs>
          <w:tab w:leader="none" w:pos="2144" w:val="left"/>
        </w:tabs>
        <w:numPr>
          <w:ilvl w:val="1"/>
          <w:numId w:val="2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Employment or Other Service Rights. </w:t>
      </w:r>
      <w:r>
        <w:rPr>
          <w:rFonts w:ascii="Times New Roman" w:cs="Times New Roman" w:eastAsia="Times New Roman" w:hAnsi="Times New Roman"/>
          <w:sz w:val="22"/>
          <w:szCs w:val="22"/>
          <w:color w:val="auto"/>
        </w:rPr>
        <w:t>Nothing in this Plan, any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any other instrument executed thereunder or in connection with any Award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1" w:name="page202"/>
    <w:bookmarkEnd w:id="201"/>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75" w:lineRule="exact"/>
        <w:rPr>
          <w:sz w:val="20"/>
          <w:szCs w:val="20"/>
          <w:color w:val="auto"/>
        </w:rPr>
      </w:pPr>
    </w:p>
    <w:p>
      <w:pPr>
        <w:jc w:val="both"/>
        <w:ind w:left="200" w:right="219" w:firstLine="1305"/>
        <w:spacing w:after="0" w:line="234" w:lineRule="auto"/>
        <w:tabs>
          <w:tab w:leader="none" w:pos="2144"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Time Commitment. </w:t>
      </w:r>
      <w:r>
        <w:rPr>
          <w:rFonts w:ascii="Times New Roman" w:cs="Times New Roman" w:eastAsia="Times New Roman" w:hAnsi="Times New Roman"/>
          <w:sz w:val="22"/>
          <w:szCs w:val="22"/>
          <w:color w:val="auto"/>
        </w:rPr>
        <w:t>In the event a Participant’s regular level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305"/>
        <w:spacing w:after="0" w:line="232" w:lineRule="auto"/>
        <w:tabs>
          <w:tab w:leader="none" w:pos="2144"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Investment Assurances. </w:t>
      </w:r>
      <w:r>
        <w:rPr>
          <w:rFonts w:ascii="Times New Roman" w:cs="Times New Roman" w:eastAsia="Times New Roman" w:hAnsi="Times New Roman"/>
          <w:sz w:val="22"/>
          <w:szCs w:val="22"/>
          <w:color w:val="auto"/>
        </w:rPr>
        <w:t>The Company may require a Participant,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this Plan as such counsel deems necessary or appropriate in order to comply with applicable securities laws, including, but not limited to, legends restricting the transfer of the Common Stock.</w:t>
      </w:r>
    </w:p>
    <w:p>
      <w:pPr>
        <w:spacing w:after="0" w:line="188" w:lineRule="exact"/>
        <w:rPr>
          <w:rFonts w:ascii="Times New Roman" w:cs="Times New Roman" w:eastAsia="Times New Roman" w:hAnsi="Times New Roman"/>
          <w:sz w:val="22"/>
          <w:szCs w:val="22"/>
          <w:b w:val="1"/>
          <w:bCs w:val="1"/>
          <w:color w:val="auto"/>
        </w:rPr>
      </w:pPr>
    </w:p>
    <w:p>
      <w:pPr>
        <w:jc w:val="both"/>
        <w:ind w:left="200" w:right="219" w:firstLine="1305"/>
        <w:spacing w:after="0" w:line="237" w:lineRule="auto"/>
        <w:tabs>
          <w:tab w:leader="none" w:pos="2144" w:val="left"/>
        </w:tabs>
        <w:numPr>
          <w:ilvl w:val="0"/>
          <w:numId w:val="2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Unless prohibited by the terms of an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shares of Common Stock are withheld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2" w:name="page203"/>
    <w:bookmarkEnd w:id="202"/>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with a value exceeding the maximum amount of tax required to be withheld by law (or such lesser amount as may be necessary to avoid classification of the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73" w:lineRule="exact"/>
        <w:rPr>
          <w:sz w:val="20"/>
          <w:szCs w:val="20"/>
          <w:color w:val="auto"/>
        </w:rPr>
      </w:pPr>
    </w:p>
    <w:p>
      <w:pPr>
        <w:jc w:val="both"/>
        <w:ind w:left="200" w:right="219" w:firstLine="1305"/>
        <w:spacing w:after="0" w:line="241" w:lineRule="auto"/>
        <w:tabs>
          <w:tab w:leader="none" w:pos="2144"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Electronic Delivery. </w:t>
      </w:r>
      <w:r>
        <w:rPr>
          <w:rFonts w:ascii="Times New Roman" w:cs="Times New Roman" w:eastAsia="Times New Roman" w:hAnsi="Times New Roman"/>
          <w:sz w:val="22"/>
          <w:szCs w:val="22"/>
          <w:color w:val="auto"/>
        </w:rPr>
        <w:t>Any reference herein to a “written”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Deferrals. </w:t>
      </w:r>
      <w:r>
        <w:rPr>
          <w:rFonts w:ascii="Times New Roman" w:cs="Times New Roman" w:eastAsia="Times New Roman" w:hAnsi="Times New Roman"/>
          <w:sz w:val="22"/>
          <w:szCs w:val="22"/>
          <w:color w:val="auto"/>
        </w:rPr>
        <w:t>To the extent permitted by applicable law, the Board,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this Plan and in accordance with applicable law.</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305"/>
        <w:spacing w:after="0" w:line="232" w:lineRule="auto"/>
        <w:tabs>
          <w:tab w:leader="none" w:pos="2144" w:val="left"/>
        </w:tabs>
        <w:numPr>
          <w:ilvl w:val="0"/>
          <w:numId w:val="2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Section 409A of the Code. </w:t>
      </w:r>
      <w:r>
        <w:rPr>
          <w:rFonts w:ascii="Times New Roman" w:cs="Times New Roman" w:eastAsia="Times New Roman" w:hAnsi="Times New Roman"/>
          <w:sz w:val="22"/>
          <w:szCs w:val="22"/>
          <w:color w:val="auto"/>
        </w:rPr>
        <w:t>Unless otherwise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for in an Award Agreement, this Plan and Award Agreements will be interpreted to the greatest extent possible in a manner that makes this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Notwithstanding any provision of this Plan, in no event will the Company be liable for any additional tax, interest or penalty imposed upon or other detriment suffered by a Participant under Section 409A of the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3" w:name="page204"/>
    <w:bookmarkEnd w:id="203"/>
    <w:p>
      <w:pPr>
        <w:ind w:left="200" w:right="219"/>
        <w:spacing w:after="0" w:line="259" w:lineRule="auto"/>
        <w:rPr>
          <w:sz w:val="20"/>
          <w:szCs w:val="20"/>
          <w:color w:val="auto"/>
        </w:rPr>
      </w:pPr>
      <w:r>
        <w:rPr>
          <w:rFonts w:ascii="Times New Roman" w:cs="Times New Roman" w:eastAsia="Times New Roman" w:hAnsi="Times New Roman"/>
          <w:sz w:val="22"/>
          <w:szCs w:val="22"/>
          <w:color w:val="auto"/>
        </w:rPr>
        <w:t>Code or for any damages suffered by such Participant for any failure of this Plan or any Award to comply with or be exempt from Section 409A of the Code.</w:t>
      </w:r>
    </w:p>
    <w:p>
      <w:pPr>
        <w:spacing w:after="0" w:line="153" w:lineRule="exact"/>
        <w:rPr>
          <w:sz w:val="20"/>
          <w:szCs w:val="20"/>
          <w:color w:val="auto"/>
        </w:rPr>
      </w:pPr>
    </w:p>
    <w:p>
      <w:pPr>
        <w:jc w:val="both"/>
        <w:ind w:left="200" w:right="219" w:firstLine="1305"/>
        <w:spacing w:after="0" w:line="233" w:lineRule="auto"/>
        <w:tabs>
          <w:tab w:leader="none" w:pos="2144" w:val="left"/>
        </w:tabs>
        <w:numPr>
          <w:ilvl w:val="1"/>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Clawback/Recovery. </w:t>
      </w:r>
      <w:r>
        <w:rPr>
          <w:rFonts w:ascii="Times New Roman" w:cs="Times New Roman" w:eastAsia="Times New Roman" w:hAnsi="Times New Roman"/>
          <w:sz w:val="22"/>
          <w:szCs w:val="22"/>
          <w:color w:val="auto"/>
        </w:rPr>
        <w:t>All Awards granted under this Plan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voluntary terminate employment upon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22"/>
          <w:szCs w:val="22"/>
          <w:b w:val="1"/>
          <w:bCs w:val="1"/>
          <w:color w:val="auto"/>
        </w:rPr>
      </w:pPr>
    </w:p>
    <w:p>
      <w:pPr>
        <w:jc w:val="both"/>
        <w:ind w:left="200" w:right="219" w:firstLine="1305"/>
        <w:spacing w:after="0" w:line="238" w:lineRule="auto"/>
        <w:tabs>
          <w:tab w:leader="none" w:pos="2144" w:val="left"/>
        </w:tabs>
        <w:numPr>
          <w:ilvl w:val="1"/>
          <w:numId w:val="2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 Benefit Plan Compensation</w:t>
      </w:r>
      <w:r>
        <w:rPr>
          <w:rFonts w:ascii="Times New Roman" w:cs="Times New Roman" w:eastAsia="Times New Roman" w:hAnsi="Times New Roman"/>
          <w:sz w:val="22"/>
          <w:szCs w:val="22"/>
          <w:color w:val="auto"/>
        </w:rPr>
        <w:t>. Payments and other benefits received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Participant under an Award made pursuant to this Plan will not be deemed a part of Participant’s compensation for purposes of determining the Participant’s benefits under any other benefit plans or arrangements provided by the Company or an Affiliate, except where the Board expressly provides otherwise in writing.</w:t>
      </w:r>
    </w:p>
    <w:p>
      <w:pPr>
        <w:spacing w:after="0" w:line="176"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38" w:lineRule="auto"/>
        <w:tabs>
          <w:tab w:leader="none" w:pos="2144" w:val="left"/>
        </w:tabs>
        <w:numPr>
          <w:ilvl w:val="1"/>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Capitalization Adjustments. </w:t>
      </w:r>
      <w:r>
        <w:rPr>
          <w:rFonts w:ascii="Times New Roman" w:cs="Times New Roman" w:eastAsia="Times New Roman" w:hAnsi="Times New Roman"/>
          <w:sz w:val="22"/>
          <w:szCs w:val="22"/>
          <w:color w:val="auto"/>
        </w:rPr>
        <w:t>In the event of a Capitalization 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Board will appropriately and proportionately adjust: (i) the class(es) and maximum number of securities subject to this Plan pursuant to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and (ii) the class(es) and number of securities and price per share of stock subject to outstanding Awards. The Board will make such adjustments, and its determination will be final, binding and conclusive.</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Dissolution. </w:t>
      </w:r>
      <w:r>
        <w:rPr>
          <w:rFonts w:ascii="Times New Roman" w:cs="Times New Roman" w:eastAsia="Times New Roman" w:hAnsi="Times New Roman"/>
          <w:sz w:val="22"/>
          <w:szCs w:val="22"/>
          <w:color w:val="auto"/>
        </w:rPr>
        <w:t>Except as otherwise provided in the Award Agreement,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event of a Dissolution of the Company, all outstanding Awards (other than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Award is providing Continuous Service;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may, in its sole discretion, cause some or all Awards to become fully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vested, exercisable and/or no longer subject to repurchase or forfeiture (to the extent such Awards have not previously expired or terminated) before the Dissolution is completed but contingent on its completion.</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1"/>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Transaction. </w:t>
      </w:r>
      <w:r>
        <w:rPr>
          <w:rFonts w:ascii="Times New Roman" w:cs="Times New Roman" w:eastAsia="Times New Roman" w:hAnsi="Times New Roman"/>
          <w:sz w:val="22"/>
          <w:szCs w:val="22"/>
          <w:color w:val="auto"/>
        </w:rPr>
        <w:t>The following provisions will apply to Awards in the 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Transaction unless otherwise provided in the instrument evidencing the Award or any other written agreement between the Company or any Affiliate and the Participant or unless otherwise expressly provided by the Board at the time of grant of an Award. In the event of a Transaction,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4" w:name="page205"/>
    <w:bookmarkEnd w:id="204"/>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then, notwithstanding any other provision of this Plan, the Board may take one or more of the following actions with respect to Awards, contingent upon the closing or completion of the Transaction:</w:t>
      </w:r>
    </w:p>
    <w:p>
      <w:pPr>
        <w:spacing w:after="0" w:line="174" w:lineRule="exact"/>
        <w:rPr>
          <w:sz w:val="20"/>
          <w:szCs w:val="20"/>
          <w:color w:val="auto"/>
        </w:rPr>
      </w:pPr>
    </w:p>
    <w:p>
      <w:pPr>
        <w:jc w:val="both"/>
        <w:ind w:left="200" w:right="219" w:firstLine="1953"/>
        <w:spacing w:after="0" w:line="239" w:lineRule="auto"/>
        <w:tabs>
          <w:tab w:leader="none" w:pos="2792"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paid to the stockholders of the Company pursuant to the Transaction);</w:t>
      </w:r>
    </w:p>
    <w:p>
      <w:pPr>
        <w:spacing w:after="0" w:line="180" w:lineRule="exact"/>
        <w:rPr>
          <w:rFonts w:ascii="Times New Roman" w:cs="Times New Roman" w:eastAsia="Times New Roman" w:hAnsi="Times New Roman"/>
          <w:sz w:val="22"/>
          <w:szCs w:val="22"/>
          <w:b w:val="1"/>
          <w:bCs w:val="1"/>
          <w:color w:val="auto"/>
        </w:rPr>
      </w:pPr>
    </w:p>
    <w:p>
      <w:pPr>
        <w:jc w:val="both"/>
        <w:ind w:left="200" w:right="219" w:firstLine="1953"/>
        <w:spacing w:after="0" w:line="261" w:lineRule="auto"/>
        <w:tabs>
          <w:tab w:leader="none" w:pos="2792" w:val="left"/>
        </w:tabs>
        <w:numPr>
          <w:ilvl w:val="0"/>
          <w:numId w:val="2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spacing w:after="0" w:line="157" w:lineRule="exact"/>
        <w:rPr>
          <w:rFonts w:ascii="Times New Roman" w:cs="Times New Roman" w:eastAsia="Times New Roman" w:hAnsi="Times New Roman"/>
          <w:sz w:val="21"/>
          <w:szCs w:val="21"/>
          <w:b w:val="1"/>
          <w:bCs w:val="1"/>
          <w:color w:val="auto"/>
        </w:rPr>
      </w:pPr>
    </w:p>
    <w:p>
      <w:pPr>
        <w:jc w:val="both"/>
        <w:ind w:left="200" w:right="219" w:firstLine="1953"/>
        <w:spacing w:after="0" w:line="235" w:lineRule="auto"/>
        <w:tabs>
          <w:tab w:leader="none" w:pos="2792"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accelerate the vesting, in whole or in part, of the Award (and, if applicable, the time at which the Award may be exercised) to a date prior to the effective time of such Transaction as the Board determines (or, if the Board does not determine such a date, to the date that is five days prior to the effective date of the Transaction), with such Award terminating if not exercised (if applicable) at or prior to the effective time of the Transaction; provided, however, that the Board may require Participants to complete and deliver to the Company a notice of exercise before the effective date of a Transaction, which exercise is contingent upon the effectiveness of such Transaction;</w:t>
      </w:r>
    </w:p>
    <w:p>
      <w:pPr>
        <w:spacing w:after="0" w:line="178" w:lineRule="exact"/>
        <w:rPr>
          <w:rFonts w:ascii="Times New Roman" w:cs="Times New Roman" w:eastAsia="Times New Roman" w:hAnsi="Times New Roman"/>
          <w:sz w:val="22"/>
          <w:szCs w:val="22"/>
          <w:b w:val="1"/>
          <w:bCs w:val="1"/>
          <w:color w:val="auto"/>
        </w:rPr>
      </w:pPr>
    </w:p>
    <w:p>
      <w:pPr>
        <w:ind w:left="200" w:right="239" w:firstLine="1953"/>
        <w:spacing w:after="0" w:line="258" w:lineRule="auto"/>
        <w:tabs>
          <w:tab w:leader="none" w:pos="2792"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arrange for the lapse, in whole or in part, of any reacquisition or repurchase rights held by the Company with respect to the Award;</w:t>
      </w:r>
    </w:p>
    <w:p>
      <w:pPr>
        <w:spacing w:after="0" w:line="158"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cancel or arrange for the cancellation of the Award, to the extent not vested or not exercised prior to the effective time of the Transaction, in exchange for such cash consideration, if any, as the Board, in its sole discretion, may consider appropriate; and</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5" w:lineRule="auto"/>
        <w:tabs>
          <w:tab w:leader="none" w:pos="2792"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make a payment, in such form as may be determined by the Board equal to the excess, if any, of (A) the value of the property the Participant would have received upon the exercise of the Award immediately prior to the effective time of the Transaction, over (B) any exercise price payable by such holder in connection with such exercise. For clarity, this payment may be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other contingencies.</w:t>
      </w:r>
    </w:p>
    <w:p>
      <w:pPr>
        <w:spacing w:after="0" w:line="178"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The Board need not take the same action or actions with respect to all Awards or portions thereof or with respect to all Participants. The Board may take different actions with respect to the vested and unvested portions of an Award.</w:t>
      </w:r>
    </w:p>
    <w:p>
      <w:pPr>
        <w:spacing w:after="0" w:line="169" w:lineRule="exact"/>
        <w:rPr>
          <w:sz w:val="20"/>
          <w:szCs w:val="20"/>
          <w:color w:val="auto"/>
        </w:rPr>
      </w:pPr>
    </w:p>
    <w:p>
      <w:pPr>
        <w:jc w:val="both"/>
        <w:ind w:left="200" w:right="219" w:firstLine="1305"/>
        <w:spacing w:after="0" w:line="238" w:lineRule="auto"/>
        <w:tabs>
          <w:tab w:leader="none" w:pos="2144"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An Award may be subject to additional acceleration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and exercisability upon or after a Change in Control as may be provided in the Award Agreement for such Award or as may be provided in any other written agreement between the Company or any Affiliate and the Participant, but in the absence of such provision, no such acceleration will automatically occur.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5" w:name="page206"/>
    <w:bookmarkEnd w:id="205"/>
    <w:p>
      <w:pPr>
        <w:jc w:val="both"/>
        <w:ind w:left="200" w:right="219" w:firstLine="657"/>
        <w:spacing w:after="0" w:line="246" w:lineRule="auto"/>
        <w:tabs>
          <w:tab w:leader="none" w:pos="1496"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uspension of this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color w:val="auto"/>
        </w:rPr>
        <w:t>. The Board may suspend or terminate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at any time. No Awards may be granted under this Plan while this Plan is suspended or after it is terminated.</w:t>
      </w:r>
    </w:p>
    <w:p>
      <w:pPr>
        <w:spacing w:after="0" w:line="167"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 of this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will come into existence on the Effective</w:t>
      </w:r>
    </w:p>
    <w:p>
      <w:pPr>
        <w:spacing w:after="0" w:line="18"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Date.</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line="246" w:lineRule="auto"/>
        <w:tabs>
          <w:tab w:leader="none" w:pos="1496"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color w:val="auto"/>
        </w:rPr>
        <w:t>. The laws of the State of Delaware will govern all questions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concerning the construction, validity and interpretation of this Plan, without regard to that state’s conflict of laws rules.</w:t>
      </w:r>
    </w:p>
    <w:p>
      <w:pPr>
        <w:spacing w:after="0" w:line="167" w:lineRule="exact"/>
        <w:rPr>
          <w:rFonts w:ascii="Times New Roman" w:cs="Times New Roman" w:eastAsia="Times New Roman" w:hAnsi="Times New Roman"/>
          <w:sz w:val="22"/>
          <w:szCs w:val="22"/>
          <w:b w:val="1"/>
          <w:bCs w:val="1"/>
          <w:color w:val="auto"/>
        </w:rPr>
      </w:pPr>
    </w:p>
    <w:p>
      <w:pPr>
        <w:ind w:left="200" w:right="219" w:firstLine="657"/>
        <w:spacing w:after="0" w:line="262" w:lineRule="auto"/>
        <w:tabs>
          <w:tab w:leader="none" w:pos="1496"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in this Plan, the following definitions will apply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indicated below:</w:t>
      </w:r>
    </w:p>
    <w:p>
      <w:pPr>
        <w:spacing w:after="0" w:line="147"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“Affiliate” </w:t>
      </w:r>
      <w:r>
        <w:rPr>
          <w:rFonts w:ascii="Times New Roman" w:cs="Times New Roman" w:eastAsia="Times New Roman" w:hAnsi="Times New Roman"/>
          <w:sz w:val="22"/>
          <w:szCs w:val="22"/>
          <w:color w:val="auto"/>
        </w:rPr>
        <w:t>means, at the time of determination, any “parent” or “subsidiary”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Company as such terms are defined in Rule 405 of the Securities Act. The Board will have the authority to determine the time or times at which “parent” or “subsidiary” status is determined within the foregoing definition.</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305"/>
        <w:spacing w:after="0" w:line="247" w:lineRule="auto"/>
        <w:tabs>
          <w:tab w:leader="none" w:pos="2144"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“Award” </w:t>
      </w:r>
      <w:r>
        <w:rPr>
          <w:rFonts w:ascii="Times New Roman" w:cs="Times New Roman" w:eastAsia="Times New Roman" w:hAnsi="Times New Roman"/>
          <w:sz w:val="22"/>
          <w:szCs w:val="22"/>
          <w:color w:val="auto"/>
        </w:rPr>
        <w:t>means an Option, a Stock Appreciation Right, a Restricted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Award, a Restricted Stock Unit Award, a Performance Stock Award, a Performance Cash Award or an Other Stock Award.</w:t>
      </w:r>
    </w:p>
    <w:p>
      <w:pPr>
        <w:spacing w:after="0" w:line="163" w:lineRule="exact"/>
        <w:rPr>
          <w:rFonts w:ascii="Times New Roman" w:cs="Times New Roman" w:eastAsia="Times New Roman" w:hAnsi="Times New Roman"/>
          <w:sz w:val="22"/>
          <w:szCs w:val="22"/>
          <w:b w:val="1"/>
          <w:bCs w:val="1"/>
          <w:color w:val="auto"/>
        </w:rPr>
      </w:pPr>
    </w:p>
    <w:p>
      <w:pPr>
        <w:ind w:left="200" w:right="239" w:firstLine="1305"/>
        <w:spacing w:after="0" w:line="264" w:lineRule="auto"/>
        <w:tabs>
          <w:tab w:leader="none" w:pos="2144"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“Award Agreement” </w:t>
      </w:r>
      <w:r>
        <w:rPr>
          <w:rFonts w:ascii="Times New Roman" w:cs="Times New Roman" w:eastAsia="Times New Roman" w:hAnsi="Times New Roman"/>
          <w:sz w:val="22"/>
          <w:szCs w:val="22"/>
          <w:color w:val="auto"/>
        </w:rPr>
        <w:t>means a written agreement between the Company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Participant evidencing the terms and conditions of an Award.</w:t>
      </w:r>
    </w:p>
    <w:p>
      <w:pPr>
        <w:spacing w:after="0" w:line="145"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“Capitalization Adjustment” </w:t>
      </w:r>
      <w:r>
        <w:rPr>
          <w:rFonts w:ascii="Times New Roman" w:cs="Times New Roman" w:eastAsia="Times New Roman" w:hAnsi="Times New Roman"/>
          <w:sz w:val="22"/>
          <w:szCs w:val="22"/>
          <w:color w:val="auto"/>
        </w:rPr>
        <w:t>means any change that is made in, or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events that occur with respect to, the Common Stock subject to this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79"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1"/>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“Cause” </w:t>
      </w:r>
      <w:r>
        <w:rPr>
          <w:rFonts w:ascii="Times New Roman" w:cs="Times New Roman" w:eastAsia="Times New Roman" w:hAnsi="Times New Roman"/>
          <w:sz w:val="22"/>
          <w:szCs w:val="22"/>
          <w:color w:val="auto"/>
        </w:rPr>
        <w:t>shall have the meaning ascribed to such term in any written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06" w:name="page207"/>
    <w:bookmarkEnd w:id="206"/>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76" w:lineRule="exact"/>
        <w:rPr>
          <w:sz w:val="20"/>
          <w:szCs w:val="20"/>
          <w:color w:val="auto"/>
        </w:rPr>
      </w:pPr>
    </w:p>
    <w:p>
      <w:pPr>
        <w:ind w:left="200" w:right="219" w:firstLine="1305"/>
        <w:spacing w:after="0" w:line="264" w:lineRule="auto"/>
        <w:tabs>
          <w:tab w:leader="none" w:pos="2144"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“Change in Control” </w:t>
      </w:r>
      <w:r>
        <w:rPr>
          <w:rFonts w:ascii="Times New Roman" w:cs="Times New Roman" w:eastAsia="Times New Roman" w:hAnsi="Times New Roman"/>
          <w:sz w:val="22"/>
          <w:szCs w:val="22"/>
          <w:color w:val="auto"/>
        </w:rPr>
        <w:t>means the occurrence, in a single transaction or in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series of related transactions, of any one or more of the following events:</w:t>
      </w:r>
    </w:p>
    <w:p>
      <w:pPr>
        <w:spacing w:after="0" w:line="151" w:lineRule="exact"/>
        <w:rPr>
          <w:rFonts w:ascii="Times New Roman" w:cs="Times New Roman" w:eastAsia="Times New Roman" w:hAnsi="Times New Roman"/>
          <w:sz w:val="22"/>
          <w:szCs w:val="22"/>
          <w:b w:val="1"/>
          <w:bCs w:val="1"/>
          <w:color w:val="auto"/>
        </w:rPr>
      </w:pPr>
    </w:p>
    <w:p>
      <w:pPr>
        <w:jc w:val="both"/>
        <w:ind w:left="200" w:right="219" w:firstLine="1953"/>
        <w:spacing w:after="0" w:line="232" w:lineRule="auto"/>
        <w:tabs>
          <w:tab w:leader="none" w:pos="2792" w:val="left"/>
        </w:tabs>
        <w:numPr>
          <w:ilvl w:val="1"/>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2"/>
          <w:szCs w:val="22"/>
          <w:b w:val="1"/>
          <w:bCs w:val="1"/>
          <w:i w:val="1"/>
          <w:iCs w:val="1"/>
          <w:color w:val="auto"/>
        </w:rPr>
        <w:t>“Subject Person”</w:t>
      </w:r>
      <w:r>
        <w:rPr>
          <w:rFonts w:ascii="Times New Roman" w:cs="Times New Roman" w:eastAsia="Times New Roman" w:hAnsi="Times New Roman"/>
          <w:sz w:val="22"/>
          <w:szCs w:val="22"/>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8" w:lineRule="exact"/>
        <w:rPr>
          <w:rFonts w:ascii="Times New Roman" w:cs="Times New Roman" w:eastAsia="Times New Roman" w:hAnsi="Times New Roman"/>
          <w:sz w:val="22"/>
          <w:szCs w:val="22"/>
          <w:b w:val="1"/>
          <w:bCs w:val="1"/>
          <w:color w:val="auto"/>
        </w:rPr>
      </w:pPr>
    </w:p>
    <w:p>
      <w:pPr>
        <w:jc w:val="both"/>
        <w:ind w:left="200" w:right="219" w:firstLine="1953"/>
        <w:spacing w:after="0" w:line="234" w:lineRule="auto"/>
        <w:tabs>
          <w:tab w:leader="none" w:pos="2792" w:val="left"/>
        </w:tabs>
        <w:numPr>
          <w:ilvl w:val="1"/>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953"/>
        <w:spacing w:after="0" w:line="236" w:lineRule="auto"/>
        <w:tabs>
          <w:tab w:leader="none" w:pos="2792" w:val="left"/>
        </w:tabs>
        <w:numPr>
          <w:ilvl w:val="1"/>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7" w:name="page208"/>
    <w:bookmarkEnd w:id="207"/>
    <w:p>
      <w:pPr>
        <w:ind w:left="200" w:right="239"/>
        <w:spacing w:after="0" w:line="259" w:lineRule="auto"/>
        <w:rPr>
          <w:sz w:val="20"/>
          <w:szCs w:val="20"/>
          <w:color w:val="auto"/>
        </w:rPr>
      </w:pPr>
      <w:r>
        <w:rPr>
          <w:rFonts w:ascii="Times New Roman" w:cs="Times New Roman" w:eastAsia="Times New Roman" w:hAnsi="Times New Roman"/>
          <w:sz w:val="22"/>
          <w:szCs w:val="22"/>
          <w:color w:val="auto"/>
        </w:rPr>
        <w:t>outstanding voting securities of the Company immediately prior to such sale, lease, license or other disposition; or</w:t>
      </w:r>
    </w:p>
    <w:p>
      <w:pPr>
        <w:spacing w:after="0" w:line="157" w:lineRule="exact"/>
        <w:rPr>
          <w:sz w:val="20"/>
          <w:szCs w:val="20"/>
          <w:color w:val="auto"/>
        </w:rPr>
      </w:pPr>
    </w:p>
    <w:p>
      <w:pPr>
        <w:jc w:val="both"/>
        <w:ind w:left="200" w:right="219" w:firstLine="1953"/>
        <w:spacing w:after="0" w:line="236" w:lineRule="auto"/>
        <w:tabs>
          <w:tab w:leader="none" w:pos="2792" w:val="left"/>
        </w:tabs>
        <w:numPr>
          <w:ilvl w:val="0"/>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individuals who, on the date this Plan is adopted by the Board, are members of the Board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xml:space="preserve">) cease for any reason to constitute at least a majority of the members of the Board;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1"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For purposes of determining voting power under the term Change in Control, voting power shall be calculated by assuming the conversion of all equity securities convertible (immediately or at some future time) into shares entitled to vote, but not assuming the exercise of any warrant or right to subscribe to or purchase those shares. In addition, (A) the term Change in Control will not include a sale of assets, merger or other transaction effected exclusively for the purpose of changing the domicile of the Company, (B) the term Change in Control will not include a change in the voting power of any one or more stockholders as a result of the conversion of any class of the Company’s securities into another class of the Company’s securities having a different number of votes per share pursuant to the conversion provisions set forth in the Company’s Amended and Restated Certificate of Incorporation, as amended, and (C)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no definition of Change in Control or any analogous term is set forth in such an individual written agreement, the foregoing definition will apply.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78" w:lineRule="exact"/>
        <w:rPr>
          <w:sz w:val="20"/>
          <w:szCs w:val="20"/>
          <w:color w:val="auto"/>
        </w:rPr>
      </w:pPr>
    </w:p>
    <w:p>
      <w:pPr>
        <w:ind w:left="200" w:right="239" w:firstLine="1305"/>
        <w:spacing w:after="0" w:line="264" w:lineRule="auto"/>
        <w:tabs>
          <w:tab w:leader="none" w:pos="2212"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“Code” </w:t>
      </w:r>
      <w:r>
        <w:rPr>
          <w:rFonts w:ascii="Times New Roman" w:cs="Times New Roman" w:eastAsia="Times New Roman" w:hAnsi="Times New Roman"/>
          <w:sz w:val="22"/>
          <w:szCs w:val="22"/>
          <w:color w:val="auto"/>
        </w:rPr>
        <w:t>means the Internal Revenue Code of 1986, as amended, including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applicable regulations and guidance thereunder.</w:t>
      </w:r>
    </w:p>
    <w:p>
      <w:pPr>
        <w:spacing w:after="0" w:line="145"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“Committee” </w:t>
      </w:r>
      <w:r>
        <w:rPr>
          <w:rFonts w:ascii="Times New Roman" w:cs="Times New Roman" w:eastAsia="Times New Roman" w:hAnsi="Times New Roman"/>
          <w:sz w:val="22"/>
          <w:szCs w:val="22"/>
          <w:color w:val="auto"/>
        </w:rPr>
        <w:t>means a committee of one or more Independent Directors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whom authority has been delegated by the Board in accordance with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“Common Stock” </w:t>
      </w:r>
      <w:r>
        <w:rPr>
          <w:rFonts w:ascii="Times New Roman" w:cs="Times New Roman" w:eastAsia="Times New Roman" w:hAnsi="Times New Roman"/>
          <w:sz w:val="22"/>
          <w:szCs w:val="22"/>
          <w:color w:val="auto"/>
        </w:rPr>
        <w:t>means the common stock of the Company having one</w:t>
      </w:r>
    </w:p>
    <w:p>
      <w:pPr>
        <w:spacing w:after="0" w:line="20"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vote per share.</w:t>
      </w:r>
    </w:p>
    <w:p>
      <w:pPr>
        <w:spacing w:after="0" w:line="176"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“Company” </w:t>
      </w:r>
      <w:r>
        <w:rPr>
          <w:rFonts w:ascii="Times New Roman" w:cs="Times New Roman" w:eastAsia="Times New Roman" w:hAnsi="Times New Roman"/>
          <w:sz w:val="22"/>
          <w:szCs w:val="22"/>
          <w:color w:val="auto"/>
        </w:rPr>
        <w:t>means MetaVia Inc., a Delaware corporation.</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305"/>
        <w:spacing w:after="0" w:line="247" w:lineRule="auto"/>
        <w:tabs>
          <w:tab w:leader="none" w:pos="2144"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“Consultant” </w:t>
      </w:r>
      <w:r>
        <w:rPr>
          <w:rFonts w:ascii="Times New Roman" w:cs="Times New Roman" w:eastAsia="Times New Roman" w:hAnsi="Times New Roman"/>
          <w:sz w:val="22"/>
          <w:szCs w:val="22"/>
          <w:color w:val="auto"/>
        </w:rPr>
        <w:t>means any person, including an advisor, who is (i) engaged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or an Affiliate to render consulting or advisory services and is compensated for such services, or (ii) serving as a member of the board of directors of an Affiliate and is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8" w:name="page209"/>
    <w:bookmarkEnd w:id="208"/>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compensated for such services. However, service solely as a Director, or payment of a fee for such service, will not cause a Director to be considered a “Consultant” for purposes of this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1" w:lineRule="exact"/>
        <w:rPr>
          <w:sz w:val="20"/>
          <w:szCs w:val="20"/>
          <w:color w:val="auto"/>
        </w:rPr>
      </w:pPr>
    </w:p>
    <w:p>
      <w:pPr>
        <w:jc w:val="both"/>
        <w:ind w:left="200" w:right="219" w:firstLine="1305"/>
        <w:spacing w:after="0" w:line="232" w:lineRule="auto"/>
        <w:tabs>
          <w:tab w:leader="none" w:pos="2144"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“Continuous Service” </w:t>
      </w:r>
      <w:r>
        <w:rPr>
          <w:rFonts w:ascii="Times New Roman" w:cs="Times New Roman" w:eastAsia="Times New Roman" w:hAnsi="Times New Roman"/>
          <w:sz w:val="22"/>
          <w:szCs w:val="22"/>
          <w:color w:val="auto"/>
        </w:rPr>
        <w:t>means that the Participant’s service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88"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“Corporate Transaction” </w:t>
      </w:r>
      <w:r>
        <w:rPr>
          <w:rFonts w:ascii="Times New Roman" w:cs="Times New Roman" w:eastAsia="Times New Roman" w:hAnsi="Times New Roman"/>
          <w:sz w:val="22"/>
          <w:szCs w:val="22"/>
          <w:color w:val="auto"/>
        </w:rPr>
        <w:t>means the consummation, in a single transaction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in a series of related transactions, of any one or more of the following events:</w:t>
      </w:r>
    </w:p>
    <w:p>
      <w:pPr>
        <w:spacing w:after="0" w:line="151" w:lineRule="exact"/>
        <w:rPr>
          <w:rFonts w:ascii="Times New Roman" w:cs="Times New Roman" w:eastAsia="Times New Roman" w:hAnsi="Times New Roman"/>
          <w:sz w:val="22"/>
          <w:szCs w:val="22"/>
          <w:b w:val="1"/>
          <w:bCs w:val="1"/>
          <w:color w:val="auto"/>
        </w:rPr>
      </w:pPr>
    </w:p>
    <w:p>
      <w:pPr>
        <w:ind w:left="200" w:right="219" w:firstLine="1953"/>
        <w:spacing w:after="0" w:line="282" w:lineRule="auto"/>
        <w:tabs>
          <w:tab w:leader="none" w:pos="2792" w:val="left"/>
        </w:tabs>
        <w:numPr>
          <w:ilvl w:val="1"/>
          <w:numId w:val="2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sale or other disposition of all or substantially all, as determined by the Board, in its sole discretion, of the consolidated assets of the Company and its Subsidiaries;</w:t>
      </w:r>
    </w:p>
    <w:p>
      <w:pPr>
        <w:spacing w:after="0" w:line="134" w:lineRule="exact"/>
        <w:rPr>
          <w:rFonts w:ascii="Times New Roman" w:cs="Times New Roman" w:eastAsia="Times New Roman" w:hAnsi="Times New Roman"/>
          <w:sz w:val="21"/>
          <w:szCs w:val="21"/>
          <w:b w:val="1"/>
          <w:bCs w:val="1"/>
          <w:color w:val="auto"/>
        </w:rPr>
      </w:pPr>
    </w:p>
    <w:p>
      <w:pPr>
        <w:ind w:left="2800" w:hanging="647"/>
        <w:spacing w:after="0"/>
        <w:tabs>
          <w:tab w:leader="none" w:pos="2800"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more than 50% of the outstanding</w:t>
      </w:r>
    </w:p>
    <w:p>
      <w:pPr>
        <w:spacing w:after="0" w:line="14"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securities of the Company;</w:t>
      </w:r>
    </w:p>
    <w:p>
      <w:pPr>
        <w:spacing w:after="0" w:line="182" w:lineRule="exact"/>
        <w:rPr>
          <w:rFonts w:ascii="Times New Roman" w:cs="Times New Roman" w:eastAsia="Times New Roman" w:hAnsi="Times New Roman"/>
          <w:sz w:val="22"/>
          <w:szCs w:val="22"/>
          <w:b w:val="1"/>
          <w:bCs w:val="1"/>
          <w:color w:val="auto"/>
        </w:rPr>
      </w:pPr>
    </w:p>
    <w:p>
      <w:pPr>
        <w:ind w:left="200" w:right="239" w:firstLine="1953"/>
        <w:spacing w:after="0" w:line="258" w:lineRule="auto"/>
        <w:tabs>
          <w:tab w:leader="none" w:pos="2792"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not the surviving corporation; or</w:t>
      </w:r>
    </w:p>
    <w:p>
      <w:pPr>
        <w:spacing w:after="0" w:line="158"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0" w:lineRule="exact"/>
        <w:rPr>
          <w:rFonts w:ascii="Times New Roman" w:cs="Times New Roman" w:eastAsia="Times New Roman" w:hAnsi="Times New Roman"/>
          <w:sz w:val="22"/>
          <w:szCs w:val="22"/>
          <w:b w:val="1"/>
          <w:bCs w:val="1"/>
          <w:color w:val="auto"/>
        </w:rPr>
      </w:pPr>
    </w:p>
    <w:p>
      <w:pPr>
        <w:ind w:left="200" w:right="239" w:firstLine="1305"/>
        <w:spacing w:after="0" w:line="264" w:lineRule="auto"/>
        <w:tabs>
          <w:tab w:leader="none" w:pos="2144"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“Director” </w:t>
      </w:r>
      <w:r>
        <w:rPr>
          <w:rFonts w:ascii="Times New Roman" w:cs="Times New Roman" w:eastAsia="Times New Roman" w:hAnsi="Times New Roman"/>
          <w:sz w:val="22"/>
          <w:szCs w:val="22"/>
          <w:color w:val="auto"/>
        </w:rPr>
        <w:t>means a member of the Board. Directors are not eligible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receive Awards under this Plan with respect to their service in such capacity.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09" w:name="page210"/>
    <w:bookmarkEnd w:id="209"/>
    <w:p>
      <w:pPr>
        <w:jc w:val="both"/>
        <w:ind w:left="200" w:right="219" w:firstLine="1305"/>
        <w:spacing w:after="0" w:line="237" w:lineRule="auto"/>
        <w:tabs>
          <w:tab w:leader="none" w:pos="2144" w:val="left"/>
        </w:tabs>
        <w:numPr>
          <w:ilvl w:val="1"/>
          <w:numId w:val="2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“Disability” </w:t>
      </w:r>
      <w:r>
        <w:rPr>
          <w:rFonts w:ascii="Times New Roman" w:cs="Times New Roman" w:eastAsia="Times New Roman" w:hAnsi="Times New Roman"/>
          <w:sz w:val="22"/>
          <w:szCs w:val="22"/>
          <w:color w:val="auto"/>
        </w:rPr>
        <w:t>means, with respect to a Participant, the inability of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w:t>
      </w:r>
    </w:p>
    <w:p>
      <w:pPr>
        <w:spacing w:after="0" w:line="1" w:lineRule="exact"/>
        <w:rPr>
          <w:rFonts w:ascii="Times New Roman" w:cs="Times New Roman" w:eastAsia="Times New Roman" w:hAnsi="Times New Roman"/>
          <w:sz w:val="22"/>
          <w:szCs w:val="22"/>
          <w:b w:val="1"/>
          <w:bCs w:val="1"/>
          <w:color w:val="auto"/>
        </w:rPr>
      </w:pPr>
    </w:p>
    <w:p>
      <w:pPr>
        <w:ind w:left="200" w:right="219" w:firstLine="9"/>
        <w:spacing w:after="0" w:line="237" w:lineRule="auto"/>
        <w:tabs>
          <w:tab w:leader="none" w:pos="53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409A(a)(2)(c)(i) of the Code, and will be determined by the Board on the basis of such medical evidence as the Board deems warranted under the circumstances.</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1"/>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“Dissolution” </w:t>
      </w:r>
      <w:r>
        <w:rPr>
          <w:rFonts w:ascii="Times New Roman" w:cs="Times New Roman" w:eastAsia="Times New Roman" w:hAnsi="Times New Roman"/>
          <w:sz w:val="22"/>
          <w:szCs w:val="22"/>
          <w:color w:val="auto"/>
        </w:rPr>
        <w:t>means when the Company, after having executed a certificate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dissolution with the State of Delaware (or other applicable state), has completely wound up its affairs. Conversion of the Company into a Limited Liability Company (or any other pass-through entity) will not be considered a “Dissolution” for purposes of this Plan.</w:t>
      </w:r>
    </w:p>
    <w:p>
      <w:pPr>
        <w:spacing w:after="0" w:line="171"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“Effective Date” </w:t>
      </w:r>
      <w:r>
        <w:rPr>
          <w:rFonts w:ascii="Times New Roman" w:cs="Times New Roman" w:eastAsia="Times New Roman" w:hAnsi="Times New Roman"/>
          <w:sz w:val="22"/>
          <w:szCs w:val="22"/>
          <w:color w:val="auto"/>
        </w:rPr>
        <w:t>means November 1, 2021.</w:t>
      </w:r>
    </w:p>
    <w:p>
      <w:pPr>
        <w:spacing w:after="0" w:line="206" w:lineRule="exact"/>
        <w:rPr>
          <w:rFonts w:ascii="Times New Roman" w:cs="Times New Roman" w:eastAsia="Times New Roman" w:hAnsi="Times New Roman"/>
          <w:sz w:val="22"/>
          <w:szCs w:val="22"/>
          <w:b w:val="1"/>
          <w:bCs w:val="1"/>
          <w:color w:val="auto"/>
        </w:rPr>
      </w:pPr>
    </w:p>
    <w:p>
      <w:pPr>
        <w:jc w:val="both"/>
        <w:ind w:left="200" w:right="239" w:firstLine="1305"/>
        <w:spacing w:after="0" w:line="247" w:lineRule="auto"/>
        <w:tabs>
          <w:tab w:leader="none" w:pos="2144" w:val="left"/>
        </w:tabs>
        <w:numPr>
          <w:ilvl w:val="1"/>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“Employee” </w:t>
      </w:r>
      <w:r>
        <w:rPr>
          <w:rFonts w:ascii="Times New Roman" w:cs="Times New Roman" w:eastAsia="Times New Roman" w:hAnsi="Times New Roman"/>
          <w:sz w:val="22"/>
          <w:szCs w:val="22"/>
          <w:color w:val="auto"/>
        </w:rPr>
        <w:t>means any person employed by the Company or an Affiliate.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However, service solely as a Director, or payment of a fee for such services, will not cause a Director to be considered an “Employee” for purposes of this Plan.</w:t>
      </w:r>
    </w:p>
    <w:p>
      <w:pPr>
        <w:spacing w:after="0" w:line="163"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“Entity” </w:t>
      </w:r>
      <w:r>
        <w:rPr>
          <w:rFonts w:ascii="Times New Roman" w:cs="Times New Roman" w:eastAsia="Times New Roman" w:hAnsi="Times New Roman"/>
          <w:sz w:val="22"/>
          <w:szCs w:val="22"/>
          <w:color w:val="auto"/>
        </w:rPr>
        <w:t>means a corporation, partnership, limited liability company or</w:t>
      </w:r>
    </w:p>
    <w:p>
      <w:pPr>
        <w:spacing w:after="0" w:line="20"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 entity.</w:t>
      </w:r>
    </w:p>
    <w:p>
      <w:pPr>
        <w:spacing w:after="0" w:line="176"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1"/>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the rules and regulations promulgated thereunder.</w:t>
      </w:r>
    </w:p>
    <w:p>
      <w:pPr>
        <w:spacing w:after="0" w:line="145"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“Exchange Act Person” </w:t>
      </w:r>
      <w:r>
        <w:rPr>
          <w:rFonts w:ascii="Times New Roman" w:cs="Times New Roman" w:eastAsia="Times New Roman" w:hAnsi="Times New Roman"/>
          <w:sz w:val="22"/>
          <w:szCs w:val="22"/>
          <w:color w:val="auto"/>
        </w:rPr>
        <w:t>means any natural person, Entity or “group”</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72"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1"/>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“Fair Market Value” </w:t>
      </w:r>
      <w:r>
        <w:rPr>
          <w:rFonts w:ascii="Times New Roman" w:cs="Times New Roman" w:eastAsia="Times New Roman" w:hAnsi="Times New Roman"/>
          <w:sz w:val="22"/>
          <w:szCs w:val="22"/>
          <w:color w:val="auto"/>
        </w:rPr>
        <w:t>means, as of any date, the value of the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determined as follows:</w:t>
      </w:r>
    </w:p>
    <w:p>
      <w:pPr>
        <w:spacing w:after="0" w:line="151"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2"/>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0" w:name="page211"/>
    <w:bookmarkEnd w:id="210"/>
    <w:p>
      <w:pPr>
        <w:jc w:val="both"/>
        <w:ind w:left="200" w:right="219" w:firstLine="1953"/>
        <w:spacing w:after="0" w:line="244" w:lineRule="auto"/>
        <w:tabs>
          <w:tab w:leader="none" w:pos="2792" w:val="left"/>
        </w:tabs>
        <w:numPr>
          <w:ilvl w:val="2"/>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4"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2"/>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the Fair Market Value will be determined by the Board in good faith and in a manner that complies with Section 409A of the Code.</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1305"/>
        <w:spacing w:after="0" w:line="245" w:lineRule="auto"/>
        <w:tabs>
          <w:tab w:leader="none" w:pos="2144" w:val="left"/>
        </w:tabs>
        <w:numPr>
          <w:ilvl w:val="1"/>
          <w:numId w:val="2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“Non-Employee Director” </w:t>
      </w:r>
      <w:r>
        <w:rPr>
          <w:rFonts w:ascii="Times New Roman" w:cs="Times New Roman" w:eastAsia="Times New Roman" w:hAnsi="Times New Roman"/>
          <w:sz w:val="21"/>
          <w:szCs w:val="21"/>
          <w:color w:val="auto"/>
        </w:rPr>
        <w:t>means a Director who either (i) is not a current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1"/>
          <w:szCs w:val="21"/>
          <w:b w:val="1"/>
          <w:bCs w:val="1"/>
          <w:i w:val="1"/>
          <w:iCs w:val="1"/>
          <w:color w:val="auto"/>
        </w:rPr>
        <w:t>“Regulation S-K”</w:t>
      </w:r>
      <w:r>
        <w:rPr>
          <w:rFonts w:ascii="Times New Roman" w:cs="Times New Roman" w:eastAsia="Times New Roman" w:hAnsi="Times New Roman"/>
          <w:sz w:val="21"/>
          <w:szCs w:val="21"/>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Times New Roman" w:cs="Times New Roman" w:eastAsia="Times New Roman" w:hAnsi="Times New Roman"/>
          <w:sz w:val="21"/>
          <w:szCs w:val="21"/>
          <w:b w:val="1"/>
          <w:bCs w:val="1"/>
          <w:color w:val="auto"/>
        </w:rPr>
      </w:pPr>
    </w:p>
    <w:p>
      <w:pPr>
        <w:ind w:left="520" w:hanging="311"/>
        <w:spacing w:after="0"/>
        <w:tabs>
          <w:tab w:leader="none" w:pos="52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otherwise considered a “non-employee director” for purposes of Rule 16b-3.</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1"/>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“Nonstatutory Stock Option” </w:t>
      </w:r>
      <w:r>
        <w:rPr>
          <w:rFonts w:ascii="Times New Roman" w:cs="Times New Roman" w:eastAsia="Times New Roman" w:hAnsi="Times New Roman"/>
          <w:sz w:val="22"/>
          <w:szCs w:val="22"/>
          <w:color w:val="auto"/>
        </w:rPr>
        <w:t>means any option granted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of this Plan that does not qualify as an “incentive stock option” within the meaning of Section 422 of the Code.</w:t>
      </w:r>
    </w:p>
    <w:p>
      <w:pPr>
        <w:spacing w:after="0" w:line="163" w:lineRule="exact"/>
        <w:rPr>
          <w:rFonts w:ascii="Times New Roman" w:cs="Times New Roman" w:eastAsia="Times New Roman" w:hAnsi="Times New Roman"/>
          <w:sz w:val="22"/>
          <w:szCs w:val="22"/>
          <w:b w:val="1"/>
          <w:bCs w:val="1"/>
          <w:color w:val="auto"/>
        </w:rPr>
      </w:pPr>
    </w:p>
    <w:p>
      <w:pPr>
        <w:ind w:left="200" w:right="239" w:firstLine="1305"/>
        <w:spacing w:after="0" w:line="264" w:lineRule="auto"/>
        <w:tabs>
          <w:tab w:leader="none" w:pos="2144" w:val="left"/>
        </w:tabs>
        <w:numPr>
          <w:ilvl w:val="1"/>
          <w:numId w:val="2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“Officer” </w:t>
      </w:r>
      <w:r>
        <w:rPr>
          <w:rFonts w:ascii="Times New Roman" w:cs="Times New Roman" w:eastAsia="Times New Roman" w:hAnsi="Times New Roman"/>
          <w:sz w:val="22"/>
          <w:szCs w:val="22"/>
          <w:color w:val="auto"/>
        </w:rPr>
        <w:t>means a person who is an officer of the Company within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meaning of Section 16 of the Exchange Act.</w:t>
      </w:r>
    </w:p>
    <w:p>
      <w:pPr>
        <w:spacing w:after="0" w:line="145" w:lineRule="exact"/>
        <w:rPr>
          <w:sz w:val="20"/>
          <w:szCs w:val="20"/>
          <w:color w:val="auto"/>
        </w:rPr>
      </w:pPr>
    </w:p>
    <w:p>
      <w:pPr>
        <w:ind w:left="200" w:right="239" w:firstLine="1305"/>
        <w:spacing w:after="0" w:line="264" w:lineRule="auto"/>
        <w:tabs>
          <w:tab w:leader="none" w:pos="2144"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“Option” </w:t>
      </w:r>
      <w:r>
        <w:rPr>
          <w:rFonts w:ascii="Times New Roman" w:cs="Times New Roman" w:eastAsia="Times New Roman" w:hAnsi="Times New Roman"/>
          <w:sz w:val="22"/>
          <w:szCs w:val="22"/>
          <w:color w:val="auto"/>
        </w:rPr>
        <w:t>means a Nonstatutory Stock Option to purchase shares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Common Stock granted pursuant to this Plan.</w:t>
      </w:r>
    </w:p>
    <w:p>
      <w:pPr>
        <w:spacing w:after="0" w:line="145" w:lineRule="exact"/>
        <w:rPr>
          <w:rFonts w:ascii="Times New Roman" w:cs="Times New Roman" w:eastAsia="Times New Roman" w:hAnsi="Times New Roman"/>
          <w:sz w:val="22"/>
          <w:szCs w:val="22"/>
          <w:b w:val="1"/>
          <w:bCs w:val="1"/>
          <w:color w:val="auto"/>
        </w:rPr>
      </w:pPr>
    </w:p>
    <w:p>
      <w:pPr>
        <w:jc w:val="both"/>
        <w:ind w:left="200" w:right="219" w:firstLine="1305"/>
        <w:spacing w:after="0" w:line="247" w:lineRule="auto"/>
        <w:tabs>
          <w:tab w:leader="none" w:pos="2144"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“Option Agreement” </w:t>
      </w:r>
      <w:r>
        <w:rPr>
          <w:rFonts w:ascii="Times New Roman" w:cs="Times New Roman" w:eastAsia="Times New Roman" w:hAnsi="Times New Roman"/>
          <w:sz w:val="22"/>
          <w:szCs w:val="22"/>
          <w:color w:val="auto"/>
        </w:rPr>
        <w:t>means a written agreement between the Company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 Optionholder evidencing the terms and conditions of an Option grant. Each Option Agreement will be subject to the terms and conditions of this Plan.</w:t>
      </w:r>
    </w:p>
    <w:p>
      <w:pPr>
        <w:spacing w:after="0" w:line="163"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“Optionholder” </w:t>
      </w:r>
      <w:r>
        <w:rPr>
          <w:rFonts w:ascii="Times New Roman" w:cs="Times New Roman" w:eastAsia="Times New Roman" w:hAnsi="Times New Roman"/>
          <w:sz w:val="22"/>
          <w:szCs w:val="22"/>
          <w:color w:val="auto"/>
        </w:rPr>
        <w:t>means a person to whom an Option is granted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Plan or, if applicable, such other person who holds an outstanding Option.</w:t>
      </w:r>
    </w:p>
    <w:p>
      <w:pPr>
        <w:spacing w:after="0" w:line="145" w:lineRule="exact"/>
        <w:rPr>
          <w:rFonts w:ascii="Times New Roman" w:cs="Times New Roman" w:eastAsia="Times New Roman" w:hAnsi="Times New Roman"/>
          <w:sz w:val="22"/>
          <w:szCs w:val="22"/>
          <w:b w:val="1"/>
          <w:bCs w:val="1"/>
          <w:color w:val="auto"/>
        </w:rPr>
      </w:pPr>
    </w:p>
    <w:p>
      <w:pPr>
        <w:jc w:val="both"/>
        <w:ind w:left="200" w:right="219" w:firstLine="1305"/>
        <w:spacing w:after="0" w:line="247" w:lineRule="auto"/>
        <w:tabs>
          <w:tab w:leader="none" w:pos="2144"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“Other Stock Award” </w:t>
      </w:r>
      <w:r>
        <w:rPr>
          <w:rFonts w:ascii="Times New Roman" w:cs="Times New Roman" w:eastAsia="Times New Roman" w:hAnsi="Times New Roman"/>
          <w:sz w:val="22"/>
          <w:szCs w:val="22"/>
          <w:color w:val="auto"/>
        </w:rPr>
        <w:t>means an award based in whole or in part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reference to the Common Stock which is granted pursuant to the terms and conditions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6(d)</w:t>
      </w:r>
      <w:r>
        <w:rPr>
          <w:rFonts w:ascii="Times New Roman" w:cs="Times New Roman" w:eastAsia="Times New Roman" w:hAnsi="Times New Roman"/>
          <w:sz w:val="22"/>
          <w:szCs w:val="22"/>
          <w:color w:val="auto"/>
        </w:rPr>
        <w:t>.</w:t>
      </w:r>
    </w:p>
    <w:p>
      <w:pPr>
        <w:spacing w:after="0" w:line="163"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“Other Stock Award Agreement” </w:t>
      </w:r>
      <w:r>
        <w:rPr>
          <w:rFonts w:ascii="Times New Roman" w:cs="Times New Roman" w:eastAsia="Times New Roman" w:hAnsi="Times New Roman"/>
          <w:sz w:val="22"/>
          <w:szCs w:val="22"/>
          <w:color w:val="auto"/>
        </w:rPr>
        <w:t>means a written agreement between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and a holder of an Other Stock Award evidencing the terms and conditions of an Other Stock Award grant. Each Other Stock Award Agreement will be subject to the terms and conditions of this Plan.</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305"/>
        <w:spacing w:after="0" w:line="247" w:lineRule="auto"/>
        <w:tabs>
          <w:tab w:leader="none" w:pos="2144"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“Own,” “Owned,” “Owner,” “Ownership” </w:t>
      </w:r>
      <w:r>
        <w:rPr>
          <w:rFonts w:ascii="Times New Roman" w:cs="Times New Roman" w:eastAsia="Times New Roman" w:hAnsi="Times New Roman"/>
          <w:sz w:val="22"/>
          <w:szCs w:val="22"/>
          <w:color w:val="auto"/>
        </w:rPr>
        <w:t>means a person or Entity will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deemed to “Own,” to have “Owned,” to be the “Owner” of, or to have acquired “Ownership” of securities if such person or Entity, directly or indirectly, through any contract, arrangement,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11" w:name="page212"/>
    <w:bookmarkEnd w:id="211"/>
    <w:p>
      <w:pPr>
        <w:ind w:left="200" w:right="219"/>
        <w:spacing w:after="0" w:line="259" w:lineRule="auto"/>
        <w:rPr>
          <w:sz w:val="20"/>
          <w:szCs w:val="20"/>
          <w:color w:val="auto"/>
        </w:rPr>
      </w:pPr>
      <w:r>
        <w:rPr>
          <w:rFonts w:ascii="Times New Roman" w:cs="Times New Roman" w:eastAsia="Times New Roman" w:hAnsi="Times New Roman"/>
          <w:sz w:val="22"/>
          <w:szCs w:val="22"/>
          <w:color w:val="auto"/>
        </w:rPr>
        <w:t>understanding, relationship or otherwise, has or shares voting power, which includes the power to vote or to direct the voting, with respect to such securities.</w:t>
      </w:r>
    </w:p>
    <w:p>
      <w:pPr>
        <w:spacing w:after="0" w:line="151" w:lineRule="exact"/>
        <w:rPr>
          <w:sz w:val="20"/>
          <w:szCs w:val="20"/>
          <w:color w:val="auto"/>
        </w:rPr>
      </w:pPr>
    </w:p>
    <w:p>
      <w:pPr>
        <w:ind w:left="200" w:right="219" w:firstLine="1305"/>
        <w:spacing w:after="0" w:line="264" w:lineRule="auto"/>
        <w:tabs>
          <w:tab w:leader="none" w:pos="2144" w:val="left"/>
        </w:tabs>
        <w:numPr>
          <w:ilvl w:val="1"/>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“Participant” </w:t>
      </w:r>
      <w:r>
        <w:rPr>
          <w:rFonts w:ascii="Times New Roman" w:cs="Times New Roman" w:eastAsia="Times New Roman" w:hAnsi="Times New Roman"/>
          <w:sz w:val="22"/>
          <w:szCs w:val="22"/>
          <w:color w:val="auto"/>
        </w:rPr>
        <w:t>means a person to whom an Award is granted pursuant to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or, if applicable, such other person who holds an outstanding Award.</w:t>
      </w:r>
    </w:p>
    <w:p>
      <w:pPr>
        <w:spacing w:after="0" w:line="145"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1"/>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“Performance Cash Award” </w:t>
      </w:r>
      <w:r>
        <w:rPr>
          <w:rFonts w:ascii="Times New Roman" w:cs="Times New Roman" w:eastAsia="Times New Roman" w:hAnsi="Times New Roman"/>
          <w:sz w:val="22"/>
          <w:szCs w:val="22"/>
          <w:color w:val="auto"/>
        </w:rPr>
        <w:t>means an award of cash granted pursuant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terms and conditions of </w:t>
      </w:r>
      <w:r>
        <w:rPr>
          <w:rFonts w:ascii="Times New Roman" w:cs="Times New Roman" w:eastAsia="Times New Roman" w:hAnsi="Times New Roman"/>
          <w:sz w:val="22"/>
          <w:szCs w:val="22"/>
          <w:u w:val="single" w:color="auto"/>
          <w:color w:val="auto"/>
        </w:rPr>
        <w:t>Section 6(c)(ii)</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1"/>
          <w:numId w:val="2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“Performance Criteria” </w:t>
      </w:r>
      <w:r>
        <w:rPr>
          <w:rFonts w:ascii="Times New Roman" w:cs="Times New Roman" w:eastAsia="Times New Roman" w:hAnsi="Times New Roman"/>
          <w:sz w:val="21"/>
          <w:szCs w:val="21"/>
          <w:color w:val="auto"/>
        </w:rPr>
        <w:t>means the one or more criteria that a majority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Company’s Independent Directors or the Independent Compensation Committee will select for purposes of establishing the Performance Goals for a Performance Period. The Performance Criteria that will be used to establish such Performance Goals may be based on any one of, or combination of, the following as determined by a majority of the Company’s Independent Directors or the Independent Compensation Committee: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w:t>
      </w:r>
    </w:p>
    <w:p>
      <w:pPr>
        <w:spacing w:after="0" w:line="4" w:lineRule="exact"/>
        <w:rPr>
          <w:rFonts w:ascii="Times New Roman" w:cs="Times New Roman" w:eastAsia="Times New Roman" w:hAnsi="Times New Roman"/>
          <w:sz w:val="21"/>
          <w:szCs w:val="21"/>
          <w:b w:val="1"/>
          <w:bCs w:val="1"/>
          <w:color w:val="auto"/>
        </w:rPr>
      </w:pPr>
    </w:p>
    <w:p>
      <w:pPr>
        <w:jc w:val="both"/>
        <w:ind w:left="200" w:right="219" w:firstLine="9"/>
        <w:spacing w:after="0" w:line="241" w:lineRule="auto"/>
        <w:tabs>
          <w:tab w:leader="none" w:pos="571"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on equity, investment, capital or assets; (x) one or more operating ratios; (xi) borrowing levels, leverage ratios or credit rating; (xii) market share; (xiii) capital expenditures; (xiv) cash flow, free cash flow, cash flow return on investment, or net cash provided by operations; (xv) stock price, dividends or total stockholder return; (xvi) development of new technologies or products;</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31" w:lineRule="auto"/>
        <w:tabs>
          <w:tab w:leader="none" w:pos="784"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pre-clinical development related compound goals; regulatory milestones, including approval of a product candidate;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meeting specified market penetration or value added, payor acceptance; patient adherence; peer reviewed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12" w:name="page213"/>
    <w:bookmarkEnd w:id="212"/>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publications; issuance of new patents; establishment of or securing of licenses to intellectual property; product development or introduction (including, without limitation,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Company’s Independent Directors or the Independent Compensation Committee.</w:t>
      </w:r>
    </w:p>
    <w:p>
      <w:pPr>
        <w:spacing w:after="0" w:line="182" w:lineRule="exact"/>
        <w:rPr>
          <w:sz w:val="20"/>
          <w:szCs w:val="20"/>
          <w:color w:val="auto"/>
        </w:rPr>
      </w:pPr>
    </w:p>
    <w:p>
      <w:pPr>
        <w:jc w:val="both"/>
        <w:ind w:left="200" w:right="219" w:firstLine="1305"/>
        <w:spacing w:after="0" w:line="231" w:lineRule="auto"/>
        <w:tabs>
          <w:tab w:leader="none" w:pos="2144" w:val="left"/>
        </w:tabs>
        <w:numPr>
          <w:ilvl w:val="0"/>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“Performance Goals” </w:t>
      </w:r>
      <w:r>
        <w:rPr>
          <w:rFonts w:ascii="Times New Roman" w:cs="Times New Roman" w:eastAsia="Times New Roman" w:hAnsi="Times New Roman"/>
          <w:sz w:val="22"/>
          <w:szCs w:val="22"/>
          <w:color w:val="auto"/>
        </w:rPr>
        <w:t>means, for a Performance Period, the one or more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goals established by a majority of the Company’s Independent Directors or the Independent Compensation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Company’s Independent Directors or the Independent Compensation Committee are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the Company’s Independent Directors or the Independent Compensation Committee’s assessment of the business strategy of the Company, performance of comparable organizations, economic and business conditions, and any other circumstances deemed relevant. Specifically, the Company’s Independent Directors or the Independent Compensation Committee are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In addition, the Company’s Independent Directors or the Independent Compensation Committee are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13" w:name="page214"/>
    <w:bookmarkEnd w:id="213"/>
    <w:p>
      <w:pPr>
        <w:ind w:left="200" w:right="219"/>
        <w:spacing w:after="0" w:line="259" w:lineRule="auto"/>
        <w:rPr>
          <w:sz w:val="20"/>
          <w:szCs w:val="20"/>
          <w:color w:val="auto"/>
        </w:rPr>
      </w:pPr>
      <w:r>
        <w:rPr>
          <w:rFonts w:ascii="Times New Roman" w:cs="Times New Roman" w:eastAsia="Times New Roman" w:hAnsi="Times New Roman"/>
          <w:sz w:val="22"/>
          <w:szCs w:val="22"/>
          <w:color w:val="auto"/>
        </w:rPr>
        <w:t>rates; and (vi) to make other appropriate adjustments selected by the Company’s Independent Directors or the Independent Compensation Committee.</w:t>
      </w:r>
    </w:p>
    <w:p>
      <w:pPr>
        <w:spacing w:after="0" w:line="151" w:lineRule="exact"/>
        <w:rPr>
          <w:sz w:val="20"/>
          <w:szCs w:val="20"/>
          <w:color w:val="auto"/>
        </w:rPr>
      </w:pPr>
    </w:p>
    <w:p>
      <w:pPr>
        <w:jc w:val="both"/>
        <w:ind w:left="200" w:right="219" w:firstLine="1305"/>
        <w:spacing w:after="0" w:line="237"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“Performance Period” </w:t>
      </w:r>
      <w:r>
        <w:rPr>
          <w:rFonts w:ascii="Times New Roman" w:cs="Times New Roman" w:eastAsia="Times New Roman" w:hAnsi="Times New Roman"/>
          <w:sz w:val="22"/>
          <w:szCs w:val="22"/>
          <w:color w:val="auto"/>
        </w:rPr>
        <w:t>means the period of time selected by a majority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Company’s Independent Directors or the Independent Compensation Committee over which the attainment of one or more Performance Goals will be measured for the purpose of determining a Participant’s right to and the payment of an Award. Performance Periods may be of varying and overlapping duration, at the sole discretion of a majority of the Company’s Independent Directors or the Independent Compensation Committee.</w:t>
      </w:r>
    </w:p>
    <w:p>
      <w:pPr>
        <w:spacing w:after="0" w:line="175"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“Performance Stock Award” </w:t>
      </w:r>
      <w:r>
        <w:rPr>
          <w:rFonts w:ascii="Times New Roman" w:cs="Times New Roman" w:eastAsia="Times New Roman" w:hAnsi="Times New Roman"/>
          <w:sz w:val="22"/>
          <w:szCs w:val="22"/>
          <w:color w:val="auto"/>
        </w:rPr>
        <w:t>means an Award granted under the terms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conditions of </w:t>
      </w:r>
      <w:r>
        <w:rPr>
          <w:rFonts w:ascii="Times New Roman" w:cs="Times New Roman" w:eastAsia="Times New Roman" w:hAnsi="Times New Roman"/>
          <w:sz w:val="22"/>
          <w:szCs w:val="22"/>
          <w:u w:val="single" w:color="auto"/>
          <w:color w:val="auto"/>
        </w:rPr>
        <w:t>Section 6(c)(i)</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b w:val="1"/>
          <w:bCs w:val="1"/>
          <w:color w:val="auto"/>
        </w:rPr>
      </w:pPr>
    </w:p>
    <w:p>
      <w:pPr>
        <w:ind w:left="200" w:right="239" w:firstLine="1305"/>
        <w:spacing w:after="0" w:line="264"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“Plan” </w:t>
      </w:r>
      <w:r>
        <w:rPr>
          <w:rFonts w:ascii="Times New Roman" w:cs="Times New Roman" w:eastAsia="Times New Roman" w:hAnsi="Times New Roman"/>
          <w:sz w:val="22"/>
          <w:szCs w:val="22"/>
          <w:color w:val="auto"/>
        </w:rPr>
        <w:t>means this MetaVia Inc. Amended and Restated 2021 Inducement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as it may be amended.</w:t>
      </w:r>
    </w:p>
    <w:p>
      <w:pPr>
        <w:spacing w:after="0" w:line="145"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“Restricted Stock Award” </w:t>
      </w:r>
      <w:r>
        <w:rPr>
          <w:rFonts w:ascii="Times New Roman" w:cs="Times New Roman" w:eastAsia="Times New Roman" w:hAnsi="Times New Roman"/>
          <w:sz w:val="22"/>
          <w:szCs w:val="22"/>
          <w:color w:val="auto"/>
        </w:rPr>
        <w:t>means an award of shares of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which is granted pursuant to the terms and conditions of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“Restricted Stock Award Agreement” </w:t>
      </w:r>
      <w:r>
        <w:rPr>
          <w:rFonts w:ascii="Times New Roman" w:cs="Times New Roman" w:eastAsia="Times New Roman" w:hAnsi="Times New Roman"/>
          <w:sz w:val="22"/>
          <w:szCs w:val="22"/>
          <w:color w:val="auto"/>
        </w:rPr>
        <w:t>means a written agreement between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and a holder of a Restricted Stock Award evidencing the terms and conditions of a Restricted Stock Award grant. Each Restricted Stock Award Agreement will be subject to the terms and conditions of this Plan.</w:t>
      </w:r>
    </w:p>
    <w:p>
      <w:pPr>
        <w:spacing w:after="0" w:line="171" w:lineRule="exact"/>
        <w:rPr>
          <w:rFonts w:ascii="Times New Roman" w:cs="Times New Roman" w:eastAsia="Times New Roman" w:hAnsi="Times New Roman"/>
          <w:sz w:val="22"/>
          <w:szCs w:val="22"/>
          <w:b w:val="1"/>
          <w:bCs w:val="1"/>
          <w:color w:val="auto"/>
        </w:rPr>
      </w:pPr>
    </w:p>
    <w:p>
      <w:pPr>
        <w:ind w:left="200" w:right="239" w:firstLine="1305"/>
        <w:spacing w:after="0" w:line="264"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“Restricted Stock Unit Award” </w:t>
      </w:r>
      <w:r>
        <w:rPr>
          <w:rFonts w:ascii="Times New Roman" w:cs="Times New Roman" w:eastAsia="Times New Roman" w:hAnsi="Times New Roman"/>
          <w:sz w:val="22"/>
          <w:szCs w:val="22"/>
          <w:color w:val="auto"/>
        </w:rPr>
        <w:t>means a right to receive shares of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Stock which is granted pursuant to the terms and conditions of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“Restricted Stock Unit Award Agreement” </w:t>
      </w:r>
      <w:r>
        <w:rPr>
          <w:rFonts w:ascii="Times New Roman" w:cs="Times New Roman" w:eastAsia="Times New Roman" w:hAnsi="Times New Roman"/>
          <w:sz w:val="22"/>
          <w:szCs w:val="22"/>
          <w:color w:val="auto"/>
        </w:rPr>
        <w:t>means a written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between the Company and a holder of a Restricted Stock Unit Award evidencing the terms and conditions of a Restricted Stock Unit Award grant. Each Restricted Stock Unit Award Agreement will be subject to the terms and conditions of this Plan.</w:t>
      </w:r>
    </w:p>
    <w:p>
      <w:pPr>
        <w:spacing w:after="0" w:line="171"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“Rule 16b-3” </w:t>
      </w:r>
      <w:r>
        <w:rPr>
          <w:rFonts w:ascii="Times New Roman" w:cs="Times New Roman" w:eastAsia="Times New Roman" w:hAnsi="Times New Roman"/>
          <w:sz w:val="22"/>
          <w:szCs w:val="22"/>
          <w:color w:val="auto"/>
        </w:rPr>
        <w:t>means Rule 16b-3 promulgated under the Exchange Act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successor to Rule 16b-3, as in effect from time to time.</w:t>
      </w:r>
    </w:p>
    <w:p>
      <w:pPr>
        <w:spacing w:after="0" w:line="145"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“Securities Act” </w:t>
      </w:r>
      <w:r>
        <w:rPr>
          <w:rFonts w:ascii="Times New Roman" w:cs="Times New Roman" w:eastAsia="Times New Roman" w:hAnsi="Times New Roman"/>
          <w:sz w:val="22"/>
          <w:szCs w:val="22"/>
          <w:color w:val="auto"/>
        </w:rPr>
        <w:t>means the Securities Act of 1933, as amended.</w:t>
      </w:r>
    </w:p>
    <w:p>
      <w:pPr>
        <w:spacing w:after="0" w:line="206" w:lineRule="exact"/>
        <w:rPr>
          <w:rFonts w:ascii="Times New Roman" w:cs="Times New Roman" w:eastAsia="Times New Roman" w:hAnsi="Times New Roman"/>
          <w:sz w:val="22"/>
          <w:szCs w:val="22"/>
          <w:b w:val="1"/>
          <w:bCs w:val="1"/>
          <w:color w:val="auto"/>
        </w:rPr>
      </w:pPr>
    </w:p>
    <w:p>
      <w:pPr>
        <w:ind w:left="200" w:right="219" w:firstLine="1305"/>
        <w:spacing w:after="0" w:line="264"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“Stock Appreciation Right”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i w:val="1"/>
          <w:iCs w:val="1"/>
          <w:color w:val="auto"/>
        </w:rPr>
        <w:t xml:space="preserve"> “SAR” </w:t>
      </w:r>
      <w:r>
        <w:rPr>
          <w:rFonts w:ascii="Times New Roman" w:cs="Times New Roman" w:eastAsia="Times New Roman" w:hAnsi="Times New Roman"/>
          <w:sz w:val="22"/>
          <w:szCs w:val="22"/>
          <w:color w:val="auto"/>
        </w:rPr>
        <w:t>means a right to receive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appreciation on Common Stock that is granted pursuant to the terms and conditions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45" w:lineRule="exact"/>
        <w:rPr>
          <w:rFonts w:ascii="Times New Roman" w:cs="Times New Roman" w:eastAsia="Times New Roman" w:hAnsi="Times New Roman"/>
          <w:sz w:val="22"/>
          <w:szCs w:val="22"/>
          <w:b w:val="1"/>
          <w:bCs w:val="1"/>
          <w:color w:val="auto"/>
        </w:rPr>
      </w:pPr>
    </w:p>
    <w:p>
      <w:pPr>
        <w:jc w:val="both"/>
        <w:ind w:left="200" w:right="219" w:firstLine="1305"/>
        <w:spacing w:after="0" w:line="241"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“Stock Appreciation Right Agreement” </w:t>
      </w:r>
      <w:r>
        <w:rPr>
          <w:rFonts w:ascii="Times New Roman" w:cs="Times New Roman" w:eastAsia="Times New Roman" w:hAnsi="Times New Roman"/>
          <w:sz w:val="22"/>
          <w:szCs w:val="22"/>
          <w:color w:val="auto"/>
        </w:rPr>
        <w:t>means a written agreement between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and a holder of a Stock Appreciation Right evidencing the terms and conditions of a Stock Appreciation Right grant. Each Stock Appreciation Right Agreement will be subject to the terms and conditions of this Plan.</w:t>
      </w:r>
    </w:p>
    <w:p>
      <w:pPr>
        <w:spacing w:after="0" w:line="171" w:lineRule="exact"/>
        <w:rPr>
          <w:rFonts w:ascii="Times New Roman" w:cs="Times New Roman" w:eastAsia="Times New Roman" w:hAnsi="Times New Roman"/>
          <w:sz w:val="22"/>
          <w:szCs w:val="22"/>
          <w:b w:val="1"/>
          <w:bCs w:val="1"/>
          <w:color w:val="auto"/>
        </w:rPr>
      </w:pPr>
    </w:p>
    <w:p>
      <w:pPr>
        <w:jc w:val="both"/>
        <w:ind w:left="200" w:right="219" w:firstLine="1305"/>
        <w:spacing w:after="0" w:line="247" w:lineRule="auto"/>
        <w:tabs>
          <w:tab w:leader="none" w:pos="21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“Subsidiary” </w:t>
      </w:r>
      <w:r>
        <w:rPr>
          <w:rFonts w:ascii="Times New Roman" w:cs="Times New Roman" w:eastAsia="Times New Roman" w:hAnsi="Times New Roman"/>
          <w:sz w:val="22"/>
          <w:szCs w:val="22"/>
          <w:color w:val="auto"/>
        </w:rPr>
        <w:t>means, with respect to the Company, (i) any corporation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more than 50% of the outstanding capital stock having ordinary voting power to elect a majority of the board of directors of such corporation (irrespective of whether, at the time, stock</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14" w:name="page215"/>
    <w:bookmarkEnd w:id="214"/>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1" w:lineRule="exact"/>
        <w:rPr>
          <w:sz w:val="20"/>
          <w:szCs w:val="20"/>
          <w:color w:val="auto"/>
        </w:rPr>
      </w:pPr>
    </w:p>
    <w:p>
      <w:pPr>
        <w:ind w:left="4400" w:right="759" w:hanging="2895"/>
        <w:spacing w:after="0" w:line="853" w:lineRule="auto"/>
        <w:tabs>
          <w:tab w:leader="none" w:pos="2159" w:val="left"/>
        </w:tabs>
        <w:numPr>
          <w:ilvl w:val="0"/>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“Transaction” </w:t>
      </w:r>
      <w:r>
        <w:rPr>
          <w:rFonts w:ascii="Times New Roman" w:cs="Times New Roman" w:eastAsia="Times New Roman" w:hAnsi="Times New Roman"/>
          <w:sz w:val="22"/>
          <w:szCs w:val="22"/>
          <w:color w:val="auto"/>
        </w:rPr>
        <w:t>means a Corporate Transaction or a Change in Control.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545211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15" w:name="page216"/>
    <w:bookmarkEnd w:id="215"/>
    <w:p>
      <w:pPr>
        <w:ind w:left="390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2021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8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eta</w:t>
      </w:r>
      <w:r>
        <w:rPr>
          <w:rFonts w:ascii="Times New Roman" w:cs="Times New Roman" w:eastAsia="Times New Roman" w:hAnsi="Times New Roman"/>
          <w:sz w:val="22"/>
          <w:szCs w:val="22"/>
          <w:color w:val="auto"/>
        </w:rPr>
        <w:t>V</w:t>
      </w:r>
      <w:r>
        <w:rPr>
          <w:rFonts w:ascii="Times New Roman" w:cs="Times New Roman" w:eastAsia="Times New Roman" w:hAnsi="Times New Roman"/>
          <w:sz w:val="14"/>
          <w:szCs w:val="14"/>
          <w:color w:val="auto"/>
        </w:rPr>
        <w:t>ia</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pursuant to its Amended and Restated 2021 Inducement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hereby grants to Optionholder an option to purchase the number of shares of the Company’s Common Stock set forth below.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277"/>
        </w:trPr>
        <w:tc>
          <w:tcPr>
            <w:tcW w:w="1460" w:type="dxa"/>
            <w:vAlign w:val="bottom"/>
          </w:tcPr>
          <w:p>
            <w:pPr>
              <w:spacing w:after="0"/>
              <w:rPr>
                <w:sz w:val="24"/>
                <w:szCs w:val="24"/>
                <w:color w:val="auto"/>
              </w:rPr>
            </w:pP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Optionholder:</w:t>
            </w: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3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Date of Grant:</w:t>
            </w:r>
          </w:p>
        </w:tc>
        <w:tc>
          <w:tcPr>
            <w:tcW w:w="2140" w:type="dxa"/>
            <w:vAlign w:val="bottom"/>
            <w:tcBorders>
              <w:top w:val="single" w:sz="8" w:color="auto"/>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3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Vesting Commencement Date:</w:t>
            </w:r>
          </w:p>
        </w:tc>
        <w:tc>
          <w:tcPr>
            <w:tcW w:w="2140" w:type="dxa"/>
            <w:vAlign w:val="bottom"/>
            <w:tcBorders>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280" w:type="dxa"/>
            <w:vAlign w:val="bottom"/>
          </w:tcPr>
          <w:p>
            <w:pPr>
              <w:ind w:left="280"/>
              <w:spacing w:after="0" w:line="202" w:lineRule="exact"/>
              <w:rPr>
                <w:sz w:val="20"/>
                <w:szCs w:val="20"/>
                <w:color w:val="auto"/>
              </w:rPr>
            </w:pPr>
            <w:r>
              <w:rPr>
                <w:rFonts w:ascii="Times New Roman" w:cs="Times New Roman" w:eastAsia="Times New Roman" w:hAnsi="Times New Roman"/>
                <w:sz w:val="22"/>
                <w:szCs w:val="22"/>
                <w:color w:val="auto"/>
              </w:rPr>
              <w:t>Number of Shares Subject to</w:t>
            </w:r>
          </w:p>
        </w:tc>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460" w:type="dxa"/>
            <w:vAlign w:val="bottom"/>
          </w:tcPr>
          <w:p>
            <w:pPr>
              <w:spacing w:after="0"/>
              <w:rPr>
                <w:sz w:val="22"/>
                <w:szCs w:val="22"/>
                <w:color w:val="auto"/>
              </w:rPr>
            </w:pP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Option:</w:t>
            </w: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3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Exercise Price (Per Share):</w:t>
            </w:r>
          </w:p>
        </w:tc>
        <w:tc>
          <w:tcPr>
            <w:tcW w:w="2140" w:type="dxa"/>
            <w:vAlign w:val="bottom"/>
            <w:tcBorders>
              <w:top w:val="single" w:sz="8" w:color="auto"/>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3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Total Exercise Price:</w:t>
            </w:r>
          </w:p>
        </w:tc>
        <w:tc>
          <w:tcPr>
            <w:tcW w:w="2140" w:type="dxa"/>
            <w:vAlign w:val="bottom"/>
            <w:tcBorders>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Type of Grant:</w:t>
            </w:r>
          </w:p>
        </w:tc>
        <w:tc>
          <w:tcPr>
            <w:tcW w:w="32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Expiration Date:</w:t>
            </w:r>
          </w:p>
        </w:tc>
        <w:tc>
          <w:tcPr>
            <w:tcW w:w="2140" w:type="dxa"/>
            <w:vAlign w:val="bottom"/>
            <w:tcBorders>
              <w:bottom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8"/>
        </w:trPr>
        <w:tc>
          <w:tcPr>
            <w:tcW w:w="1460" w:type="dxa"/>
            <w:vAlign w:val="bottom"/>
            <w:vMerge w:val="continue"/>
          </w:tcPr>
          <w:p>
            <w:pPr>
              <w:spacing w:after="0"/>
              <w:rPr>
                <w:sz w:val="24"/>
                <w:szCs w:val="24"/>
                <w:color w:val="auto"/>
              </w:rPr>
            </w:pPr>
          </w:p>
        </w:tc>
        <w:tc>
          <w:tcPr>
            <w:tcW w:w="70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Nonstatutory Stock Option</w:t>
            </w:r>
          </w:p>
        </w:tc>
        <w:tc>
          <w:tcPr>
            <w:tcW w:w="0" w:type="dxa"/>
            <w:vAlign w:val="bottom"/>
          </w:tcPr>
          <w:p>
            <w:pPr>
              <w:spacing w:after="0"/>
              <w:rPr>
                <w:sz w:val="1"/>
                <w:szCs w:val="1"/>
                <w:color w:val="auto"/>
              </w:rPr>
            </w:pPr>
          </w:p>
        </w:tc>
      </w:tr>
      <w:tr>
        <w:trPr>
          <w:trHeight w:val="44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Exercise</w:t>
            </w:r>
          </w:p>
        </w:tc>
        <w:tc>
          <w:tcPr>
            <w:tcW w:w="70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Same as Vesting Schedule</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Schedule</w:t>
            </w:r>
            <w:r>
              <w:rPr>
                <w:rFonts w:ascii="Times New Roman" w:cs="Times New Roman" w:eastAsia="Times New Roman" w:hAnsi="Times New Roman"/>
                <w:sz w:val="22"/>
                <w:szCs w:val="22"/>
                <w:color w:val="auto"/>
              </w:rPr>
              <w:t>:</w:t>
            </w:r>
          </w:p>
        </w:tc>
        <w:tc>
          <w:tcPr>
            <w:tcW w:w="3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w:t>
            </w:r>
          </w:p>
        </w:tc>
        <w:tc>
          <w:tcPr>
            <w:tcW w:w="70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7"/>
              </w:rPr>
              <w:t>______________, subject to Optionholder’s Continuous Service as of each such</w:t>
            </w:r>
          </w:p>
        </w:tc>
        <w:tc>
          <w:tcPr>
            <w:tcW w:w="0" w:type="dxa"/>
            <w:vAlign w:val="bottom"/>
          </w:tcPr>
          <w:p>
            <w:pPr>
              <w:spacing w:after="0"/>
              <w:rPr>
                <w:sz w:val="1"/>
                <w:szCs w:val="1"/>
                <w:color w:val="auto"/>
              </w:rPr>
            </w:pP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Schedule</w:t>
            </w:r>
            <w:r>
              <w:rPr>
                <w:rFonts w:ascii="Times New Roman" w:cs="Times New Roman" w:eastAsia="Times New Roman" w:hAnsi="Times New Roman"/>
                <w:sz w:val="22"/>
                <w:szCs w:val="22"/>
                <w:color w:val="auto"/>
              </w:rPr>
              <w:t>:</w:t>
            </w:r>
          </w:p>
        </w:tc>
        <w:tc>
          <w:tcPr>
            <w:tcW w:w="70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447"/>
        </w:trPr>
        <w:tc>
          <w:tcPr>
            <w:tcW w:w="1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70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By one or a combination of the following items (described in the Option</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70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Agreement):</w:t>
            </w:r>
          </w:p>
        </w:tc>
        <w:tc>
          <w:tcPr>
            <w:tcW w:w="0" w:type="dxa"/>
            <w:vAlign w:val="bottom"/>
          </w:tcPr>
          <w:p>
            <w:pPr>
              <w:spacing w:after="0"/>
              <w:rPr>
                <w:sz w:val="1"/>
                <w:szCs w:val="1"/>
                <w:color w:val="auto"/>
              </w:rPr>
            </w:pPr>
          </w:p>
        </w:tc>
      </w:tr>
      <w:tr>
        <w:trPr>
          <w:trHeight w:val="434"/>
        </w:trPr>
        <w:tc>
          <w:tcPr>
            <w:tcW w:w="1460" w:type="dxa"/>
            <w:vAlign w:val="bottom"/>
          </w:tcPr>
          <w:p>
            <w:pPr>
              <w:spacing w:after="0"/>
              <w:rPr>
                <w:sz w:val="24"/>
                <w:szCs w:val="24"/>
                <w:color w:val="auto"/>
              </w:rPr>
            </w:pPr>
          </w:p>
        </w:tc>
        <w:tc>
          <w:tcPr>
            <w:tcW w:w="7020" w:type="dxa"/>
            <w:vAlign w:val="bottom"/>
            <w:gridSpan w:val="3"/>
          </w:tcPr>
          <w:p>
            <w:pPr>
              <w:ind w:left="80"/>
              <w:spacing w:after="0" w:line="295"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color w:val="auto"/>
              </w:rPr>
              <w:t xml:space="preserve"> By cash, check, bank draft or money order payable to the Company</w:t>
            </w: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2"/>
                <w:szCs w:val="22"/>
                <w:color w:val="auto"/>
              </w:rPr>
            </w:pPr>
          </w:p>
        </w:tc>
        <w:tc>
          <w:tcPr>
            <w:tcW w:w="7020" w:type="dxa"/>
            <w:vAlign w:val="bottom"/>
            <w:gridSpan w:val="3"/>
          </w:tcPr>
          <w:p>
            <w:pPr>
              <w:ind w:left="80"/>
              <w:spacing w:after="0" w:line="256"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color w:val="auto"/>
              </w:rPr>
              <w:t xml:space="preserve"> Pursuant to a Regulation T Program if the shares are publicly traded</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7020" w:type="dxa"/>
            <w:vAlign w:val="bottom"/>
            <w:gridSpan w:val="3"/>
          </w:tcPr>
          <w:p>
            <w:pPr>
              <w:ind w:left="80"/>
              <w:spacing w:after="0" w:line="256"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color w:val="auto"/>
              </w:rPr>
              <w:t xml:space="preserve"> By delivery of already-owned shares if the shares are publicly traded</w:t>
            </w:r>
          </w:p>
        </w:tc>
        <w:tc>
          <w:tcPr>
            <w:tcW w:w="0" w:type="dxa"/>
            <w:vAlign w:val="bottom"/>
          </w:tcPr>
          <w:p>
            <w:pPr>
              <w:spacing w:after="0"/>
              <w:rPr>
                <w:sz w:val="1"/>
                <w:szCs w:val="1"/>
                <w:color w:val="auto"/>
              </w:rPr>
            </w:pPr>
          </w:p>
        </w:tc>
      </w:tr>
      <w:tr>
        <w:trPr>
          <w:trHeight w:val="283"/>
        </w:trPr>
        <w:tc>
          <w:tcPr>
            <w:tcW w:w="1460" w:type="dxa"/>
            <w:vAlign w:val="bottom"/>
          </w:tcPr>
          <w:p>
            <w:pPr>
              <w:spacing w:after="0"/>
              <w:rPr>
                <w:sz w:val="24"/>
                <w:szCs w:val="24"/>
                <w:color w:val="auto"/>
              </w:rPr>
            </w:pPr>
          </w:p>
        </w:tc>
        <w:tc>
          <w:tcPr>
            <w:tcW w:w="7020" w:type="dxa"/>
            <w:vAlign w:val="bottom"/>
            <w:gridSpan w:val="3"/>
          </w:tcPr>
          <w:p>
            <w:pPr>
              <w:ind w:left="80"/>
              <w:spacing w:after="0" w:line="283" w:lineRule="exact"/>
              <w:rPr>
                <w:sz w:val="20"/>
                <w:szCs w:val="20"/>
                <w:color w:val="auto"/>
              </w:rPr>
            </w:pP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color w:val="auto"/>
              </w:rPr>
              <w:t xml:space="preserve"> Subject to the Company’s consent at the time of exercise, by a “net</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4"/>
                <w:szCs w:val="24"/>
                <w:color w:val="auto"/>
              </w:rPr>
            </w:pPr>
          </w:p>
        </w:tc>
        <w:tc>
          <w:tcPr>
            <w:tcW w:w="70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exercise” arrangement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Additional Terms/Acknowledgements: </w:t>
      </w:r>
      <w:r>
        <w:rPr>
          <w:rFonts w:ascii="Times New Roman" w:cs="Times New Roman" w:eastAsia="Times New Roman" w:hAnsi="Times New Roman"/>
          <w:sz w:val="22"/>
          <w:szCs w:val="22"/>
          <w:color w:val="auto"/>
        </w:rPr>
        <w:t>Optionholder acknowledges receipt of, and understands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agrees to, this Stock Option Grant Notice, the 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6" w:name="page217"/>
    <w:bookmarkEnd w:id="216"/>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or severance arrangement or other written agreement entered into between the Company and Optionholder specifying the terms that should govern this option upon the terms and conditions set forth therein.</w:t>
      </w:r>
    </w:p>
    <w:p>
      <w:pPr>
        <w:spacing w:after="0" w:line="17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By accepting this option, Optionholder acknowledges having received and read the Stock Option Grant Notice, the Option Agreement and the Plan and agrees to all of the terms and conditions set forth in these documents, Optionholder consents to receive Plan and related documents by electronic delivery and to participate in the Plan through an on-line or electronic system established and maintained by the Company or another third party designated by the Company.</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86"/>
        </w:trPr>
        <w:tc>
          <w:tcPr>
            <w:tcW w:w="3920" w:type="dxa"/>
            <w:vAlign w:val="bottom"/>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4260" w:type="dxa"/>
            <w:vAlign w:val="bottom"/>
            <w:gridSpan w:val="3"/>
          </w:tcPr>
          <w:p>
            <w:pPr>
              <w:ind w:left="380"/>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22"/>
                <w:szCs w:val="22"/>
                <w:b w:val="1"/>
                <w:bCs w:val="1"/>
                <w:color w:val="auto"/>
              </w:rPr>
              <w:t>:</w:t>
            </w:r>
          </w:p>
        </w:tc>
      </w:tr>
      <w:tr>
        <w:trPr>
          <w:trHeight w:val="508"/>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580" w:type="dxa"/>
            <w:vAlign w:val="bottom"/>
            <w:tcBorders>
              <w:top w:val="single" w:sz="8" w:color="auto"/>
            </w:tcBorders>
            <w:gridSpan w:val="3"/>
          </w:tcPr>
          <w:p>
            <w:pPr>
              <w:spacing w:after="0" w:line="216" w:lineRule="exact"/>
              <w:rPr>
                <w:sz w:val="20"/>
                <w:szCs w:val="20"/>
                <w:color w:val="auto"/>
              </w:rPr>
            </w:pPr>
            <w:r>
              <w:rPr>
                <w:rFonts w:ascii="Times New Roman" w:cs="Times New Roman" w:eastAsia="Times New Roman" w:hAnsi="Times New Roman"/>
                <w:sz w:val="22"/>
                <w:szCs w:val="22"/>
                <w:color w:val="auto"/>
              </w:rPr>
              <w:t>Signature</w:t>
            </w:r>
          </w:p>
        </w:tc>
        <w:tc>
          <w:tcPr>
            <w:tcW w:w="400" w:type="dxa"/>
            <w:vAlign w:val="bottom"/>
          </w:tcPr>
          <w:p>
            <w:pPr>
              <w:spacing w:after="0"/>
              <w:rPr>
                <w:sz w:val="18"/>
                <w:szCs w:val="18"/>
                <w:color w:val="auto"/>
              </w:rPr>
            </w:pPr>
          </w:p>
        </w:tc>
        <w:tc>
          <w:tcPr>
            <w:tcW w:w="3860" w:type="dxa"/>
            <w:vAlign w:val="bottom"/>
            <w:tcBorders>
              <w:top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Signature</w:t>
            </w:r>
          </w:p>
        </w:tc>
      </w:tr>
      <w:tr>
        <w:trPr>
          <w:trHeight w:val="304"/>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Title:</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Date:</w:t>
            </w:r>
          </w:p>
        </w:tc>
      </w:tr>
      <w:tr>
        <w:trPr>
          <w:trHeight w:val="242"/>
        </w:trPr>
        <w:tc>
          <w:tcPr>
            <w:tcW w:w="480" w:type="dxa"/>
            <w:vAlign w:val="bottom"/>
            <w:gridSpan w:val="2"/>
          </w:tcPr>
          <w:p>
            <w:pPr>
              <w:spacing w:after="0" w:line="242" w:lineRule="exact"/>
              <w:rPr>
                <w:sz w:val="20"/>
                <w:szCs w:val="20"/>
                <w:color w:val="auto"/>
              </w:rPr>
            </w:pPr>
            <w:r>
              <w:rPr>
                <w:rFonts w:ascii="Times New Roman" w:cs="Times New Roman" w:eastAsia="Times New Roman" w:hAnsi="Times New Roman"/>
                <w:sz w:val="22"/>
                <w:szCs w:val="22"/>
                <w:color w:val="auto"/>
                <w:w w:val="96"/>
              </w:rPr>
              <w:t>Date:</w:t>
            </w:r>
          </w:p>
        </w:tc>
        <w:tc>
          <w:tcPr>
            <w:tcW w:w="34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20" w:type="dxa"/>
            <w:vAlign w:val="bottom"/>
            <w:tcBorders>
              <w:top w:val="single" w:sz="8" w:color="auto"/>
            </w:tcBorders>
          </w:tcPr>
          <w:p>
            <w:pPr>
              <w:spacing w:after="0"/>
              <w:rPr>
                <w:sz w:val="21"/>
                <w:szCs w:val="21"/>
                <w:color w:val="auto"/>
              </w:rPr>
            </w:pPr>
          </w:p>
        </w:tc>
      </w:tr>
      <w:tr>
        <w:trPr>
          <w:trHeight w:val="35"/>
        </w:trPr>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20" w:type="dxa"/>
            <w:vAlign w:val="bottom"/>
          </w:tcPr>
          <w:p>
            <w:pPr>
              <w:spacing w:after="0"/>
              <w:rPr>
                <w:sz w:val="3"/>
                <w:szCs w:val="3"/>
                <w:color w:val="auto"/>
              </w:rPr>
            </w:pPr>
          </w:p>
        </w:tc>
      </w:tr>
    </w:tbl>
    <w:p>
      <w:pPr>
        <w:spacing w:after="0" w:line="21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22"/>
          <w:szCs w:val="22"/>
          <w:color w:val="auto"/>
        </w:rPr>
        <w:t>: Option Agreement, Amended and Restated 2021 Inducement Plan and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14"/>
          <w:szCs w:val="14"/>
          <w:u w:val="single" w:color="auto"/>
          <w:color w:val="auto"/>
        </w:rPr>
        <w:t>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MetaVia Inc. Amended and Restated 2021 Inducement Plan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14"/>
          <w:szCs w:val="14"/>
          <w:u w:val="single" w:color="auto"/>
          <w:color w:val="auto"/>
        </w:rPr>
        <w:t>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and Notice of Exercise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14"/>
          <w:szCs w:val="14"/>
          <w:u w:val="single" w:color="auto"/>
          <w:color w:val="auto"/>
        </w:rPr>
        <w:t>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2021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onstatutory</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22"/>
          <w:szCs w:val="22"/>
          <w:b w:val="1"/>
          <w:bCs w:val="1"/>
          <w:color w:val="auto"/>
        </w:rPr>
        <w:t>)</w:t>
      </w:r>
    </w:p>
    <w:p>
      <w:pPr>
        <w:spacing w:after="0" w:line="284"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Pursuant to your Stock Option Grant Notice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xml:space="preserve">) and this Option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MetaVia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has granted you an option under the MetaVia Inc. Amended and Restated 2021 Inducement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to purchase the number of shares of the Company’s Common Stock indicated in your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The option is granted in compliance with Nasdaq Listing Rule 5635(c)(4) as a material inducement to you entering into employment with the Company. If there is any conflict between the terms in this Agreement and the Plan, the terms of the Plan will control. Capitalized terms not explicitly defined in this Option Agreement or in the Grant Notice but defined in the Plan will have the same definitions as in the Plan.</w:t>
      </w:r>
    </w:p>
    <w:p>
      <w:pPr>
        <w:spacing w:after="0" w:line="18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details of your option, in addition to those set forth in the Grant Notice and the Plan, are as follows:</w:t>
      </w:r>
    </w:p>
    <w:p>
      <w:pPr>
        <w:spacing w:after="0" w:line="154" w:lineRule="exact"/>
        <w:rPr>
          <w:sz w:val="20"/>
          <w:szCs w:val="20"/>
          <w:color w:val="auto"/>
        </w:rPr>
      </w:pPr>
    </w:p>
    <w:p>
      <w:pPr>
        <w:jc w:val="both"/>
        <w:ind w:left="200" w:right="219" w:firstLine="657"/>
        <w:spacing w:after="0" w:line="246" w:lineRule="auto"/>
        <w:tabs>
          <w:tab w:leader="none" w:pos="1496" w:val="left"/>
        </w:tabs>
        <w:numPr>
          <w:ilvl w:val="1"/>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contained herein, your option will vest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your Grant Notice. Vesting will cease upon the termination of your Continuous Service.</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657"/>
        <w:spacing w:after="0" w:line="246" w:lineRule="auto"/>
        <w:tabs>
          <w:tab w:leader="none" w:pos="1496" w:val="left"/>
        </w:tabs>
        <w:numPr>
          <w:ilvl w:val="1"/>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your option and your exercise price per share in your Grant Notice will be adjusted for Capitalization Adjustments.</w:t>
      </w:r>
    </w:p>
    <w:p>
      <w:pPr>
        <w:spacing w:after="0" w:line="167"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1"/>
          <w:numId w:val="2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estriction  for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xempt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are an Employee</w:t>
      </w:r>
    </w:p>
    <w:p>
      <w:pPr>
        <w:spacing w:after="0" w:line="18" w:lineRule="exact"/>
        <w:rPr>
          <w:rFonts w:ascii="Times New Roman" w:cs="Times New Roman" w:eastAsia="Times New Roman" w:hAnsi="Times New Roman"/>
          <w:sz w:val="22"/>
          <w:szCs w:val="22"/>
          <w:b w:val="1"/>
          <w:bCs w:val="1"/>
          <w:color w:val="auto"/>
        </w:rPr>
      </w:pPr>
    </w:p>
    <w:p>
      <w:pPr>
        <w:jc w:val="both"/>
        <w:ind w:left="200" w:right="219"/>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 xml:space="preserve">eligible for overtime compensation under the Fair Labor Standards Act of 1938, as amended (that is, a </w:t>
      </w:r>
      <w:r>
        <w:rPr>
          <w:rFonts w:ascii="Times New Roman" w:cs="Times New Roman" w:eastAsia="Times New Roman" w:hAnsi="Times New Roman"/>
          <w:sz w:val="21"/>
          <w:szCs w:val="21"/>
          <w:b w:val="1"/>
          <w:bCs w:val="1"/>
          <w:i w:val="1"/>
          <w:iCs w:val="1"/>
          <w:color w:val="auto"/>
        </w:rPr>
        <w:t>“Non-Exempt Employee”</w:t>
      </w:r>
      <w:r>
        <w:rPr>
          <w:rFonts w:ascii="Times New Roman" w:cs="Times New Roman" w:eastAsia="Times New Roman" w:hAnsi="Times New Roman"/>
          <w:sz w:val="21"/>
          <w:szCs w:val="21"/>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w:t>
      </w:r>
    </w:p>
    <w:p>
      <w:pPr>
        <w:spacing w:after="0" w:line="3" w:lineRule="exact"/>
        <w:rPr>
          <w:rFonts w:ascii="Times New Roman" w:cs="Times New Roman" w:eastAsia="Times New Roman" w:hAnsi="Times New Roman"/>
          <w:sz w:val="22"/>
          <w:szCs w:val="22"/>
          <w:b w:val="1"/>
          <w:bCs w:val="1"/>
          <w:color w:val="auto"/>
        </w:rPr>
      </w:pPr>
    </w:p>
    <w:p>
      <w:pPr>
        <w:jc w:val="both"/>
        <w:ind w:left="200" w:right="219" w:firstLine="9"/>
        <w:spacing w:after="0" w:line="235" w:lineRule="auto"/>
        <w:tabs>
          <w:tab w:leader="none" w:pos="497"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41" w:lineRule="auto"/>
        <w:tabs>
          <w:tab w:leader="none" w:pos="1496" w:val="left"/>
        </w:tabs>
        <w:numPr>
          <w:ilvl w:val="1"/>
          <w:numId w:val="2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must pay the full amount of the exercise price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you wish to exercise. You may pay the exercise price in cash or by check, bank draft or money order payable to the Company or in any other manner permitted by the Grant Notice, which may include one or more of the following: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8" w:name="page219"/>
    <w:bookmarkEnd w:id="218"/>
    <w:p>
      <w:pPr>
        <w:jc w:val="both"/>
        <w:ind w:left="200" w:right="219" w:firstLine="1305"/>
        <w:spacing w:after="0" w:line="236" w:lineRule="auto"/>
        <w:tabs>
          <w:tab w:leader="none" w:pos="2144" w:val="left"/>
        </w:tabs>
        <w:numPr>
          <w:ilvl w:val="1"/>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1"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305"/>
        <w:spacing w:after="0" w:line="234" w:lineRule="auto"/>
        <w:tabs>
          <w:tab w:leader="none" w:pos="2144" w:val="left"/>
        </w:tabs>
        <w:numPr>
          <w:ilvl w:val="1"/>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79"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exercise your option only for whole shares of Common</w:t>
      </w:r>
    </w:p>
    <w:p>
      <w:pPr>
        <w:spacing w:after="0" w:line="18"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Stock.</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may you exercise your option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line="246" w:lineRule="auto"/>
        <w:tabs>
          <w:tab w:leader="none" w:pos="1496" w:val="left"/>
        </w:tabs>
        <w:numPr>
          <w:ilvl w:val="0"/>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not exercise your option before the Date of Grant or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of the option’s term. The term of your option expires, subject to the provisions of Section 5(h) of the Plan, upon the earliest of the following:</w:t>
      </w:r>
    </w:p>
    <w:p>
      <w:pPr>
        <w:spacing w:after="0" w:line="171"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immediately upon the termination of your Continuous Service for Cause;</w:t>
      </w:r>
    </w:p>
    <w:p>
      <w:pPr>
        <w:spacing w:after="0" w:line="206" w:lineRule="exact"/>
        <w:rPr>
          <w:rFonts w:ascii="Times New Roman" w:cs="Times New Roman" w:eastAsia="Times New Roman" w:hAnsi="Times New Roman"/>
          <w:sz w:val="22"/>
          <w:szCs w:val="22"/>
          <w:b w:val="1"/>
          <w:bCs w:val="1"/>
          <w:color w:val="auto"/>
        </w:rPr>
      </w:pPr>
    </w:p>
    <w:p>
      <w:pPr>
        <w:ind w:left="200" w:right="239" w:firstLine="1305"/>
        <w:spacing w:after="0" w:line="258" w:lineRule="auto"/>
        <w:tabs>
          <w:tab w:leader="none" w:pos="2144" w:val="left"/>
        </w:tabs>
        <w:numPr>
          <w:ilvl w:val="1"/>
          <w:numId w:val="2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three (3) months after the termination of your Continuous Service for any reason other than Cause, your Disability or your death (except as otherwise provided in Section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9" w:name="page220"/>
    <w:bookmarkEnd w:id="219"/>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7(d) below);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82" w:lineRule="exact"/>
        <w:rPr>
          <w:sz w:val="20"/>
          <w:szCs w:val="20"/>
          <w:color w:val="auto"/>
        </w:rPr>
      </w:pPr>
    </w:p>
    <w:p>
      <w:pPr>
        <w:ind w:left="200" w:right="219" w:firstLine="1305"/>
        <w:spacing w:after="0" w:line="258" w:lineRule="auto"/>
        <w:tabs>
          <w:tab w:leader="none" w:pos="2144" w:val="left"/>
        </w:tabs>
        <w:numPr>
          <w:ilvl w:val="1"/>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twelve (12) months after the termination of your Continuous Service due to your Disability (except as otherwise provided in Section 7(d)) below;</w:t>
      </w:r>
    </w:p>
    <w:p>
      <w:pPr>
        <w:spacing w:after="0" w:line="158"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1"/>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eighteen (18) months after your death if you die either during your Continuous Service or within three (3) months after your Continuous Service terminates for any reason other than Cause;</w:t>
      </w:r>
    </w:p>
    <w:p>
      <w:pPr>
        <w:spacing w:after="0" w:line="173"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Expiration Date indicated in the Grant Notice; or</w:t>
      </w:r>
    </w:p>
    <w:p>
      <w:pPr>
        <w:spacing w:after="0" w:line="206"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2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day before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Date of Grant.</w:t>
      </w:r>
    </w:p>
    <w:p>
      <w:pPr>
        <w:spacing w:after="0" w:line="202"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1"/>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305"/>
        <w:spacing w:after="0" w:line="236" w:lineRule="auto"/>
        <w:tabs>
          <w:tab w:leader="none" w:pos="2144" w:val="left"/>
        </w:tabs>
        <w:numPr>
          <w:ilvl w:val="1"/>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exercising the Grant Notice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77"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this Section 9, your option is not</w:t>
      </w:r>
    </w:p>
    <w:p>
      <w:pPr>
        <w:spacing w:after="0" w:line="18" w:lineRule="exact"/>
        <w:rPr>
          <w:sz w:val="20"/>
          <w:szCs w:val="20"/>
          <w:color w:val="auto"/>
        </w:rPr>
      </w:pPr>
    </w:p>
    <w:p>
      <w:pPr>
        <w:ind w:left="200" w:right="219"/>
        <w:spacing w:after="0" w:line="237" w:lineRule="auto"/>
        <w:rPr>
          <w:sz w:val="20"/>
          <w:szCs w:val="20"/>
          <w:color w:val="auto"/>
        </w:rPr>
      </w:pPr>
      <w:r>
        <w:rPr>
          <w:rFonts w:ascii="Times New Roman" w:cs="Times New Roman" w:eastAsia="Times New Roman" w:hAnsi="Times New Roman"/>
          <w:sz w:val="22"/>
          <w:szCs w:val="22"/>
          <w:color w:val="auto"/>
        </w:rPr>
        <w:t>transferable, except by will or by the laws of descent and distribution, and is exercisable during your life only by you.</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0" w:name="page221"/>
    <w:bookmarkEnd w:id="220"/>
    <w:p>
      <w:pPr>
        <w:jc w:val="both"/>
        <w:ind w:left="200" w:right="219" w:firstLine="1305"/>
        <w:spacing w:after="0" w:line="238" w:lineRule="auto"/>
        <w:tabs>
          <w:tab w:leader="none" w:pos="2144" w:val="left"/>
        </w:tabs>
        <w:numPr>
          <w:ilvl w:val="1"/>
          <w:numId w:val="2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Certain Trusts. </w:t>
      </w:r>
      <w:r>
        <w:rPr>
          <w:rFonts w:ascii="Times New Roman" w:cs="Times New Roman" w:eastAsia="Times New Roman" w:hAnsi="Times New Roman"/>
          <w:sz w:val="22"/>
          <w:szCs w:val="22"/>
          <w:color w:val="auto"/>
        </w:rPr>
        <w:t>Upon receiving written permission from the Board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designee, you 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1"/>
          <w:numId w:val="2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Domestic Relations Orders. </w:t>
      </w:r>
      <w:r>
        <w:rPr>
          <w:rFonts w:ascii="Times New Roman" w:cs="Times New Roman" w:eastAsia="Times New Roman" w:hAnsi="Times New Roman"/>
          <w:sz w:val="22"/>
          <w:szCs w:val="22"/>
          <w:color w:val="auto"/>
        </w:rPr>
        <w:t>Upon receiving written permission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or its duly authorized 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1"/>
          <w:numId w:val="2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Upon receiving written permission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or its duly 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tabs>
          <w:tab w:leader="none" w:pos="1496" w:val="left"/>
        </w:tabs>
        <w:numPr>
          <w:ilvl w:val="0"/>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ption not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not an employment or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 and nothing in 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399"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1"/>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305"/>
        <w:spacing w:after="0" w:line="239" w:lineRule="auto"/>
        <w:tabs>
          <w:tab w:leader="none" w:pos="2144" w:val="left"/>
        </w:tabs>
        <w:numPr>
          <w:ilvl w:val="1"/>
          <w:numId w:val="2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1" w:name="page222"/>
    <w:bookmarkEnd w:id="22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Company as of the date of exercise, not in excess of the maximum amount of tax permitted to be withheld by law (or such lower amount as may be necessary to avoid classification of your option as a liability for financial accounting purposes).</w:t>
      </w:r>
    </w:p>
    <w:p>
      <w:pPr>
        <w:spacing w:after="0" w:line="173" w:lineRule="exact"/>
        <w:rPr>
          <w:sz w:val="20"/>
          <w:szCs w:val="20"/>
          <w:color w:val="auto"/>
        </w:rPr>
      </w:pPr>
    </w:p>
    <w:p>
      <w:pPr>
        <w:jc w:val="both"/>
        <w:ind w:left="200" w:right="219" w:firstLine="1305"/>
        <w:spacing w:after="0" w:line="251" w:lineRule="auto"/>
        <w:tabs>
          <w:tab w:leader="none" w:pos="2144" w:val="left"/>
        </w:tabs>
        <w:numPr>
          <w:ilvl w:val="1"/>
          <w:numId w:val="2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64" w:lineRule="exact"/>
        <w:rPr>
          <w:rFonts w:ascii="Times New Roman" w:cs="Times New Roman" w:eastAsia="Times New Roman" w:hAnsi="Times New Roman"/>
          <w:sz w:val="21"/>
          <w:szCs w:val="21"/>
          <w:b w:val="1"/>
          <w:bCs w:val="1"/>
          <w:color w:val="auto"/>
        </w:rPr>
      </w:pPr>
    </w:p>
    <w:p>
      <w:pPr>
        <w:jc w:val="both"/>
        <w:ind w:left="200" w:right="219" w:firstLine="657"/>
        <w:spacing w:after="0" w:line="235" w:lineRule="auto"/>
        <w:tabs>
          <w:tab w:leader="none" w:pos="1496"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22"/>
          <w:szCs w:val="22"/>
          <w:color w:val="auto"/>
        </w:rPr>
        <w:t>. You hereby agree that the Company does not have a duty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 or administer the Plan or 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178"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provided for in your option or the Plan will be given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(including 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option is subject to all the provisions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provisions of which 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657"/>
        <w:spacing w:after="0" w:line="238" w:lineRule="auto"/>
        <w:tabs>
          <w:tab w:leader="none" w:pos="1496"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receipt of and the right to receive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providing the 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2" w:name="page223"/>
    <w:bookmarkEnd w:id="222"/>
    <w:p>
      <w:pPr>
        <w:jc w:val="both"/>
        <w:ind w:left="200" w:right="219" w:firstLine="657"/>
        <w:spacing w:after="0" w:line="238" w:lineRule="auto"/>
        <w:tabs>
          <w:tab w:leader="none" w:pos="1496"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value of this option will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657"/>
        <w:spacing w:after="0" w:line="237" w:lineRule="auto"/>
        <w:tabs>
          <w:tab w:leader="none" w:pos="1496"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oting</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not have voting or any other rights as a stockholder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 respect to the 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657"/>
        <w:spacing w:after="0" w:line="265" w:lineRule="auto"/>
        <w:tabs>
          <w:tab w:leader="none" w:pos="1496"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all or any part of this Option Agreement or the Plan is declared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50"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1"/>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1"/>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option.</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1"/>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1"/>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Option Agreement will be subject to all applicable laws, rules, and regulations, and to such approvals by any governmental agencies or national securities exchanges as may be required.</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305"/>
        <w:spacing w:after="0" w:line="239" w:lineRule="auto"/>
        <w:tabs>
          <w:tab w:leader="none" w:pos="2144" w:val="left"/>
        </w:tabs>
        <w:numPr>
          <w:ilvl w:val="1"/>
          <w:numId w:val="2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80" w:lineRule="exact"/>
        <w:rPr>
          <w:sz w:val="20"/>
          <w:szCs w:val="20"/>
          <w:color w:val="auto"/>
        </w:rPr>
      </w:pPr>
    </w:p>
    <w:p>
      <w:pPr>
        <w:ind w:left="3800"/>
        <w:spacing w:after="0"/>
        <w:tabs>
          <w:tab w:leader="none" w:pos="4440" w:val="left"/>
          <w:tab w:leader="none" w:pos="50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This Option Agreement will be deemed to be signed by you upon the signing by you of the Stock Option Grant Notice to which it is attached.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2021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22"/>
          <w:szCs w:val="22"/>
          <w:b w:val="1"/>
          <w:bCs w:val="1"/>
          <w:color w:val="auto"/>
        </w:rPr>
        <w:t xml:space="preserv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xercise</w:t>
      </w:r>
    </w:p>
    <w:p>
      <w:pPr>
        <w:sectPr>
          <w:pgSz w:w="11900" w:h="16838" w:orient="portrait"/>
          <w:cols w:equalWidth="0" w:num="1">
            <w:col w:w="9019"/>
          </w:cols>
          <w:pgMar w:left="1440" w:top="1107" w:right="1440" w:bottom="1440" w:gutter="0" w:footer="0" w:header="0"/>
        </w:sect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545 Concord Avenue, Suite 210</w:t>
      </w:r>
    </w:p>
    <w:p>
      <w:pPr>
        <w:ind w:left="200"/>
        <w:spacing w:after="0" w:line="230" w:lineRule="auto"/>
        <w:rPr>
          <w:sz w:val="20"/>
          <w:szCs w:val="20"/>
          <w:color w:val="auto"/>
        </w:rPr>
      </w:pPr>
      <w:r>
        <w:rPr>
          <w:rFonts w:ascii="Times New Roman" w:cs="Times New Roman" w:eastAsia="Times New Roman" w:hAnsi="Times New Roman"/>
          <w:sz w:val="22"/>
          <w:szCs w:val="22"/>
          <w:color w:val="auto"/>
        </w:rPr>
        <w:t>Cambridge, Massachusetts 02138</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Attention: Chief Executive Officer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-6985</wp:posOffset>
            </wp:positionV>
            <wp:extent cx="8210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3">
                      <a:extLst>
                        <a:ext uri="{28A0092B-C50C-407E-A947-70E740481C1C}"/>
                      </a:extLst>
                    </a:blip>
                    <a:srcRect/>
                    <a:stretch>
                      <a:fillRect/>
                    </a:stretch>
                  </pic:blipFill>
                  <pic:spPr bwMode="auto">
                    <a:xfrm>
                      <a:off x="0" y="0"/>
                      <a:ext cx="821055" cy="8255"/>
                    </a:xfrm>
                    <a:prstGeom prst="rect">
                      <a:avLst/>
                    </a:prstGeom>
                    <a:noFill/>
                  </pic:spPr>
                </pic:pic>
              </a:graphicData>
            </a:graphic>
          </wp:anchor>
        </w:drawing>
      </w:r>
    </w:p>
    <w:p>
      <w:pPr>
        <w:spacing w:after="0" w:line="953" w:lineRule="exact"/>
        <w:rPr>
          <w:sz w:val="20"/>
          <w:szCs w:val="20"/>
          <w:color w:val="auto"/>
        </w:rPr>
      </w:pPr>
    </w:p>
    <w:p>
      <w:pPr>
        <w:sectPr>
          <w:pgSz w:w="11900" w:h="16838" w:orient="portrait"/>
          <w:cols w:equalWidth="0" w:num="2">
            <w:col w:w="3760" w:space="720"/>
            <w:col w:w="4539"/>
          </w:cols>
          <w:pgMar w:left="1440" w:top="1107" w:right="1440" w:bottom="1440" w:gutter="0" w:footer="0" w:header="0"/>
          <w:type w:val="continuous"/>
        </w:sectPr>
      </w:pPr>
    </w:p>
    <w:p>
      <w:pPr>
        <w:spacing w:after="0" w:line="15"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 xml:space="preserve">This constitutes notice to MetaVia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under my stock option that I elect to purchase the below number of shares of Common Stock of the Company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for the price set forth below.</w:t>
      </w:r>
    </w:p>
    <w:p>
      <w:pPr>
        <w:spacing w:after="0" w:line="200" w:lineRule="exact"/>
        <w:rPr>
          <w:sz w:val="20"/>
          <w:szCs w:val="20"/>
          <w:color w:val="auto"/>
        </w:rPr>
      </w:pPr>
    </w:p>
    <w:p>
      <w:pPr>
        <w:spacing w:after="0" w:line="222"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Nonstatutory</w:t>
            </w:r>
          </w:p>
        </w:tc>
        <w:tc>
          <w:tcPr>
            <w:tcW w:w="0" w:type="dxa"/>
            <w:vAlign w:val="bottom"/>
          </w:tcPr>
          <w:p>
            <w:pPr>
              <w:spacing w:after="0"/>
              <w:rPr>
                <w:sz w:val="1"/>
                <w:szCs w:val="1"/>
                <w:color w:val="auto"/>
              </w:rPr>
            </w:pPr>
          </w:p>
        </w:tc>
      </w:tr>
      <w:tr>
        <w:trPr>
          <w:trHeight w:val="466"/>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Stock option dated: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Number of Shares as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which option is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Certificates to be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in name of:</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Cash payment delivered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herewith:</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9"/>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Value of ________ Shares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8"/>
              </w:rPr>
              <w:t>delivered herewith</w:t>
            </w:r>
          </w:p>
        </w:tc>
        <w:tc>
          <w:tcPr>
            <w:tcW w:w="80" w:type="dxa"/>
            <w:vAlign w:val="bottom"/>
            <w:tcBorders>
              <w:bottom w:val="single" w:sz="8" w:color="0000EE"/>
            </w:tcBorders>
          </w:tcPr>
          <w:p>
            <w:pPr>
              <w:jc w:val="right"/>
              <w:spacing w:after="0" w:line="138" w:lineRule="exact"/>
              <w:rPr>
                <w:sz w:val="20"/>
                <w:szCs w:val="20"/>
                <w:color w:val="auto"/>
              </w:rPr>
            </w:pPr>
            <w:r>
              <w:rPr>
                <w:rFonts w:ascii="Times New Roman" w:cs="Times New Roman" w:eastAsia="Times New Roman" w:hAnsi="Times New Roman"/>
                <w:sz w:val="14"/>
                <w:szCs w:val="14"/>
                <w:color w:val="0000EE"/>
                <w:w w:val="85"/>
              </w:rPr>
              <w:t>1</w:t>
            </w:r>
          </w:p>
        </w:tc>
        <w:tc>
          <w:tcPr>
            <w:tcW w:w="280" w:type="dxa"/>
            <w:vAlign w:val="bottom"/>
            <w:vMerge w:val="restart"/>
          </w:tcPr>
          <w:p>
            <w:pPr>
              <w:jc w:val="right"/>
              <w:ind w:right="189"/>
              <w:spacing w:after="0"/>
              <w:rPr>
                <w:sz w:val="20"/>
                <w:szCs w:val="20"/>
                <w:color w:val="auto"/>
              </w:rPr>
            </w:pPr>
            <w:r>
              <w:rPr>
                <w:rFonts w:ascii="Times New Roman" w:cs="Times New Roman" w:eastAsia="Times New Roman" w:hAnsi="Times New Roman"/>
                <w:sz w:val="10"/>
                <w:szCs w:val="10"/>
                <w:color w:val="auto"/>
                <w:w w:val="70"/>
              </w:rPr>
              <w:t>:</w:t>
            </w:r>
          </w:p>
        </w:tc>
        <w:tc>
          <w:tcPr>
            <w:tcW w:w="8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3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Value of ________ Shares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8"/>
              </w:rPr>
              <w:t>pursuant to net exercise</w:t>
            </w:r>
          </w:p>
        </w:tc>
        <w:tc>
          <w:tcPr>
            <w:tcW w:w="80" w:type="dxa"/>
            <w:vAlign w:val="bottom"/>
            <w:tcBorders>
              <w:bottom w:val="single" w:sz="8" w:color="0000EE"/>
            </w:tcBorders>
          </w:tcPr>
          <w:p>
            <w:pPr>
              <w:jc w:val="right"/>
              <w:spacing w:after="0" w:line="138" w:lineRule="exact"/>
              <w:rPr>
                <w:sz w:val="20"/>
                <w:szCs w:val="20"/>
                <w:color w:val="auto"/>
              </w:rPr>
            </w:pPr>
            <w:r>
              <w:rPr>
                <w:rFonts w:ascii="Times New Roman" w:cs="Times New Roman" w:eastAsia="Times New Roman" w:hAnsi="Times New Roman"/>
                <w:sz w:val="14"/>
                <w:szCs w:val="14"/>
                <w:color w:val="0000EE"/>
                <w:w w:val="85"/>
              </w:rPr>
              <w:t>2</w:t>
            </w:r>
          </w:p>
        </w:tc>
        <w:tc>
          <w:tcPr>
            <w:tcW w:w="220" w:type="dxa"/>
            <w:vAlign w:val="bottom"/>
            <w:vMerge w:val="restart"/>
          </w:tcPr>
          <w:p>
            <w:pPr>
              <w:jc w:val="right"/>
              <w:ind w:right="129"/>
              <w:spacing w:after="0"/>
              <w:rPr>
                <w:sz w:val="20"/>
                <w:szCs w:val="20"/>
                <w:color w:val="auto"/>
              </w:rPr>
            </w:pPr>
            <w:r>
              <w:rPr>
                <w:rFonts w:ascii="Times New Roman" w:cs="Times New Roman" w:eastAsia="Times New Roman" w:hAnsi="Times New Roman"/>
                <w:sz w:val="10"/>
                <w:szCs w:val="10"/>
                <w:color w:val="auto"/>
                <w:w w:val="70"/>
              </w:rPr>
              <w:t>:</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7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4"/>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Regulation T Program</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(cashless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4"/>
              </w:rPr>
              <w:t>exercise</w:t>
            </w:r>
          </w:p>
        </w:tc>
        <w:tc>
          <w:tcPr>
            <w:tcW w:w="80" w:type="dxa"/>
            <w:vAlign w:val="bottom"/>
            <w:tcBorders>
              <w:bottom w:val="single" w:sz="8" w:color="0000EE"/>
            </w:tcBorders>
          </w:tcPr>
          <w:p>
            <w:pPr>
              <w:jc w:val="right"/>
              <w:spacing w:after="0" w:line="138" w:lineRule="exact"/>
              <w:rPr>
                <w:sz w:val="20"/>
                <w:szCs w:val="20"/>
                <w:color w:val="auto"/>
              </w:rPr>
            </w:pPr>
            <w:r>
              <w:rPr>
                <w:rFonts w:ascii="Times New Roman" w:cs="Times New Roman" w:eastAsia="Times New Roman" w:hAnsi="Times New Roman"/>
                <w:sz w:val="14"/>
                <w:szCs w:val="14"/>
                <w:color w:val="0000EE"/>
                <w:w w:val="85"/>
              </w:rPr>
              <w:t>3</w:t>
            </w:r>
          </w:p>
        </w:tc>
        <w:tc>
          <w:tcPr>
            <w:tcW w:w="1340" w:type="dxa"/>
            <w:vAlign w:val="bottom"/>
            <w:gridSpan w:val="5"/>
            <w:vMerge w:val="restart"/>
          </w:tcPr>
          <w:p>
            <w:pPr>
              <w:jc w:val="right"/>
              <w:ind w:right="1189"/>
              <w:spacing w:after="0"/>
              <w:rPr>
                <w:sz w:val="20"/>
                <w:szCs w:val="20"/>
                <w:color w:val="auto"/>
              </w:rPr>
            </w:pPr>
            <w:r>
              <w:rPr>
                <w:rFonts w:ascii="Times New Roman" w:cs="Times New Roman" w:eastAsia="Times New Roman" w:hAnsi="Times New Roman"/>
                <w:sz w:val="18"/>
                <w:szCs w:val="18"/>
                <w:color w:val="auto"/>
                <w:w w:val="72"/>
              </w:rPr>
              <w:t>):</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136271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40"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7"/>
          <w:szCs w:val="17"/>
          <w:color w:val="auto"/>
        </w:rPr>
        <w:t>Shares must meet the public trading requirements set forth in the option. Shares must be valued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accordance with the terms of the option being exercised, and must be owned free and clear of any liens, claims, encumbrances or security interests. Certificates must be endorsed or accompanied by an executed assignment separate from certificate.</w:t>
      </w:r>
    </w:p>
    <w:p>
      <w:pPr>
        <w:spacing w:after="0" w:line="183"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17"/>
          <w:szCs w:val="17"/>
          <w:color w:val="auto"/>
        </w:rPr>
        <w:t>The Company must have established net exercise procedures at the time of exercise, in order to utilize 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payment method.</w:t>
      </w:r>
    </w:p>
    <w:p>
      <w:pPr>
        <w:ind w:left="860"/>
        <w:spacing w:after="0"/>
        <w:rPr>
          <w:sz w:val="20"/>
          <w:szCs w:val="20"/>
          <w:color w:val="auto"/>
        </w:rPr>
      </w:pPr>
      <w:r>
        <w:rPr>
          <w:rFonts w:ascii="Times New Roman" w:cs="Times New Roman" w:eastAsia="Times New Roman" w:hAnsi="Times New Roman"/>
          <w:sz w:val="16"/>
          <w:szCs w:val="16"/>
          <w:color w:val="auto"/>
        </w:rPr>
        <w:t xml:space="preserve">3 </w:t>
      </w:r>
      <w:r>
        <w:rPr>
          <w:rFonts w:ascii="Times New Roman" w:cs="Times New Roman" w:eastAsia="Times New Roman" w:hAnsi="Times New Roman"/>
          <w:sz w:val="17"/>
          <w:szCs w:val="17"/>
          <w:color w:val="auto"/>
        </w:rPr>
        <w:t>Shares must meet the public trading requirements set forth in the option.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type w:val="continuous"/>
        </w:sectPr>
      </w:pPr>
    </w:p>
    <w:bookmarkStart w:id="225" w:name="page226"/>
    <w:bookmarkEnd w:id="225"/>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By this exercise, I agree (i) to provide such additional documents as you may require pursuant to the terms of the MetaVia Inc. Amended and Restated 2021 Inducement Plan, and (ii) to provide for the payment by me to you (in the manner designated by you) of your withholding obligation, if any, relating to the exercise of this option.</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508000</wp:posOffset>
            </wp:positionV>
            <wp:extent cx="272605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6">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6" w:name="page227"/>
    <w:bookmarkEnd w:id="226"/>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METAVIA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2022 EQUITY INCENTIVE PLAN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ADOPTED BY THE BOARD OF DIRECTORS: November 8, 2022</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APPROVED BY THE STOCKHOLDERS: December 22, 2022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BY THE BOARD OF DIRECTORS: November 29, 2024</w:t>
      </w:r>
    </w:p>
    <w:p>
      <w:pPr>
        <w:spacing w:after="0" w:line="196" w:lineRule="exact"/>
        <w:rPr>
          <w:sz w:val="20"/>
          <w:szCs w:val="20"/>
          <w:color w:val="auto"/>
        </w:rPr>
      </w:pPr>
    </w:p>
    <w:p>
      <w:pPr>
        <w:ind w:left="1500" w:hanging="643"/>
        <w:spacing w:after="0"/>
        <w:tabs>
          <w:tab w:leader="none" w:pos="1500" w:val="left"/>
        </w:tabs>
        <w:numPr>
          <w:ilvl w:val="1"/>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2"/>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 to and Continuation of Prior Plan. </w:t>
      </w:r>
      <w:r>
        <w:rPr>
          <w:rFonts w:ascii="Times New Roman" w:cs="Times New Roman" w:eastAsia="Times New Roman" w:hAnsi="Times New Roman"/>
          <w:sz w:val="20"/>
          <w:szCs w:val="20"/>
          <w:color w:val="auto"/>
        </w:rPr>
        <w:t>The Plan is the successor 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continuation of the Prior Plan. As of the Effective 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2"/>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Purpose. </w:t>
      </w:r>
      <w:r>
        <w:rPr>
          <w:rFonts w:ascii="Times New Roman" w:cs="Times New Roman" w:eastAsia="Times New Roman" w:hAnsi="Times New Roman"/>
          <w:sz w:val="20"/>
          <w:szCs w:val="20"/>
          <w:color w:val="auto"/>
        </w:rPr>
        <w:t>The Company, by means of the Plan, seeks to secure and retain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80"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2"/>
          <w:numId w:val="2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Available Awards. </w:t>
      </w:r>
      <w:r>
        <w:rPr>
          <w:rFonts w:ascii="Times New Roman" w:cs="Times New Roman" w:eastAsia="Times New Roman" w:hAnsi="Times New Roman"/>
          <w:sz w:val="20"/>
          <w:szCs w:val="20"/>
          <w:color w:val="auto"/>
        </w:rPr>
        <w:t>The Plan provides for the grant of the following Awards:</w:t>
      </w:r>
    </w:p>
    <w:p>
      <w:pPr>
        <w:spacing w:after="0" w:line="25" w:lineRule="exact"/>
        <w:rPr>
          <w:rFonts w:ascii="Times New Roman" w:cs="Times New Roman" w:eastAsia="Times New Roman" w:hAnsi="Times New Roman"/>
          <w:sz w:val="20"/>
          <w:szCs w:val="20"/>
          <w:b w:val="1"/>
          <w:bCs w:val="1"/>
          <w:color w:val="auto"/>
        </w:rPr>
      </w:pPr>
    </w:p>
    <w:p>
      <w:pPr>
        <w:ind w:left="480" w:hanging="271"/>
        <w:spacing w:after="0"/>
        <w:tabs>
          <w:tab w:leader="none" w:pos="48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Stock Options; (ii) Nonstatutory Stock Options; (iii) SARs; (iv) Restricted Stock Awards;</w:t>
      </w:r>
    </w:p>
    <w:p>
      <w:pPr>
        <w:ind w:left="480" w:hanging="271"/>
        <w:spacing w:after="0"/>
        <w:tabs>
          <w:tab w:leader="none" w:pos="48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 Awards; (vi) Performance Awards; and (vii) Other Awards.</w:t>
      </w:r>
    </w:p>
    <w:p>
      <w:pPr>
        <w:spacing w:after="0" w:line="189" w:lineRule="exact"/>
        <w:rPr>
          <w:rFonts w:ascii="Times New Roman" w:cs="Times New Roman" w:eastAsia="Times New Roman" w:hAnsi="Times New Roman"/>
          <w:sz w:val="20"/>
          <w:szCs w:val="20"/>
          <w:color w:val="auto"/>
        </w:rPr>
      </w:pPr>
    </w:p>
    <w:p>
      <w:pPr>
        <w:ind w:left="200" w:right="219" w:firstLine="1305"/>
        <w:spacing w:after="0" w:line="273" w:lineRule="auto"/>
        <w:tabs>
          <w:tab w:leader="none" w:pos="2144" w:val="left"/>
        </w:tabs>
        <w:numPr>
          <w:ilvl w:val="2"/>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Adoption Date; Effective Date. </w:t>
      </w:r>
      <w:r>
        <w:rPr>
          <w:rFonts w:ascii="Times New Roman" w:cs="Times New Roman" w:eastAsia="Times New Roman" w:hAnsi="Times New Roman"/>
          <w:sz w:val="20"/>
          <w:szCs w:val="20"/>
          <w:color w:val="auto"/>
        </w:rPr>
        <w:t>The Plan will come into existence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Adoption Date, but no Award may be granted prior to the Effective Date.</w:t>
      </w:r>
    </w:p>
    <w:p>
      <w:pPr>
        <w:spacing w:after="0" w:line="151"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1"/>
          <w:numId w:val="2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SHARES SUBJECT TO THE PLAN.</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61" w:lineRule="auto"/>
        <w:tabs>
          <w:tab w:leader="none" w:pos="2144" w:val="left"/>
        </w:tabs>
        <w:numPr>
          <w:ilvl w:val="2"/>
          <w:numId w:val="2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Share Reserve. </w:t>
      </w:r>
      <w:r>
        <w:rPr>
          <w:rFonts w:ascii="Times New Roman" w:cs="Times New Roman" w:eastAsia="Times New Roman" w:hAnsi="Times New Roman"/>
          <w:sz w:val="19"/>
          <w:szCs w:val="19"/>
          <w:color w:val="auto"/>
        </w:rPr>
        <w:t>Subject to adjustment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adjustments as necessary to implement any Capitalization Adjustments, the aggregate number of shares of Common Stock that may be issued pursuant to Awards will not exceed the sum of (i) 4,910,073 shares, plus</w:t>
      </w:r>
    </w:p>
    <w:p>
      <w:pPr>
        <w:spacing w:after="0" w:line="1" w:lineRule="exact"/>
        <w:rPr>
          <w:rFonts w:ascii="Times New Roman" w:cs="Times New Roman" w:eastAsia="Times New Roman" w:hAnsi="Times New Roman"/>
          <w:sz w:val="19"/>
          <w:szCs w:val="19"/>
          <w:b w:val="1"/>
          <w:bCs w:val="1"/>
          <w:color w:val="auto"/>
        </w:rPr>
      </w:pPr>
    </w:p>
    <w:p>
      <w:pPr>
        <w:jc w:val="both"/>
        <w:ind w:left="200" w:right="219" w:firstLine="9"/>
        <w:spacing w:after="0"/>
        <w:tabs>
          <w:tab w:leader="none" w:pos="519"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January 1st of each year for a period of eight years commencing on January 1, 2025 and ending on (and including) January 1, 2032, to an amount equal to 10% of the Fully Diluted Shares as of the last day of the preceding calendar year; provided, however that the Board may act prior to the effective date of any such annual increase to provide that the increase for such year will be a lesser number of shares of Common Stock.</w:t>
      </w:r>
    </w:p>
    <w:p>
      <w:pPr>
        <w:spacing w:after="0" w:line="186" w:lineRule="exact"/>
        <w:rPr>
          <w:rFonts w:ascii="Times New Roman" w:cs="Times New Roman" w:eastAsia="Times New Roman" w:hAnsi="Times New Roman"/>
          <w:sz w:val="20"/>
          <w:szCs w:val="20"/>
          <w:color w:val="auto"/>
        </w:rPr>
      </w:pPr>
    </w:p>
    <w:p>
      <w:pPr>
        <w:jc w:val="both"/>
        <w:ind w:left="200" w:right="219" w:firstLine="1305"/>
        <w:spacing w:after="0" w:line="245" w:lineRule="auto"/>
        <w:tabs>
          <w:tab w:leader="none" w:pos="2144" w:val="left"/>
        </w:tabs>
        <w:numPr>
          <w:ilvl w:val="2"/>
          <w:numId w:val="2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Aggregate Incentive Stock Option Limit. </w:t>
      </w:r>
      <w:r>
        <w:rPr>
          <w:rFonts w:ascii="Times New Roman" w:cs="Times New Roman" w:eastAsia="Times New Roman" w:hAnsi="Times New Roman"/>
          <w:sz w:val="20"/>
          <w:szCs w:val="20"/>
          <w:color w:val="auto"/>
        </w:rPr>
        <w:t>Notwithstanding anything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contrary in Section 2(a) and subject to any adjustments as necessary to implement any Capitalization Adjustments, the aggregate maximum number of shares of Common Stock that may be issued pursuant to the exercise of Incentive Stock Options is 1,000,000 shares of the Company Stock plus the amount of any increase in the number of shares that may be available for issuance pursuant to Awards pursuant to Section 2(a), but in no event shall more than 15,000,000 shares of the Company Stock be issued as Incentive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7" w:name="page228"/>
    <w:bookmarkEnd w:id="227"/>
    <w:p>
      <w:pPr>
        <w:ind w:left="2160" w:hanging="655"/>
        <w:spacing w:after="0"/>
        <w:tabs>
          <w:tab w:leader="none" w:pos="2160" w:val="left"/>
        </w:tabs>
        <w:numPr>
          <w:ilvl w:val="2"/>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Reserve Operation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953"/>
        <w:spacing w:after="0" w:line="244" w:lineRule="auto"/>
        <w:tabs>
          <w:tab w:leader="none" w:pos="2792" w:val="left"/>
        </w:tabs>
        <w:numPr>
          <w:ilvl w:val="3"/>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 Applies to Common Stock Issued Pursuant to Awards. </w:t>
      </w:r>
      <w:r>
        <w:rPr>
          <w:rFonts w:ascii="Times New Roman" w:cs="Times New Roman" w:eastAsia="Times New Roman" w:hAnsi="Times New Roman"/>
          <w:sz w:val="20"/>
          <w:szCs w:val="20"/>
          <w:color w:val="auto"/>
        </w:rPr>
        <w:t>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81" w:lineRule="exact"/>
        <w:rPr>
          <w:rFonts w:ascii="Times New Roman" w:cs="Times New Roman" w:eastAsia="Times New Roman" w:hAnsi="Times New Roman"/>
          <w:sz w:val="20"/>
          <w:szCs w:val="20"/>
          <w:b w:val="1"/>
          <w:bCs w:val="1"/>
          <w:color w:val="auto"/>
        </w:rPr>
      </w:pPr>
    </w:p>
    <w:p>
      <w:pPr>
        <w:jc w:val="both"/>
        <w:ind w:left="200" w:right="219" w:firstLine="1953"/>
        <w:spacing w:after="0" w:line="243" w:lineRule="auto"/>
        <w:tabs>
          <w:tab w:leader="none" w:pos="2792" w:val="left"/>
        </w:tabs>
        <w:numPr>
          <w:ilvl w:val="3"/>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Actions that Do Not Constitute Issuance of Common Stock and Do Not Reduce Share Reserve. </w:t>
      </w:r>
      <w:r>
        <w:rPr>
          <w:rFonts w:ascii="Times New Roman" w:cs="Times New Roman" w:eastAsia="Times New Roman" w:hAnsi="Times New Roman"/>
          <w:sz w:val="20"/>
          <w:szCs w:val="20"/>
          <w:color w:val="auto"/>
        </w:rPr>
        <w:t>The following actions do not result in an issuance of shares under the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953"/>
        <w:spacing w:after="0" w:line="244" w:lineRule="auto"/>
        <w:tabs>
          <w:tab w:leader="none" w:pos="2792" w:val="left"/>
        </w:tabs>
        <w:numPr>
          <w:ilvl w:val="3"/>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Reversion of Previously Issued Shares of Common Stock to Share Reserve. </w:t>
      </w:r>
      <w:r>
        <w:rPr>
          <w:rFonts w:ascii="Times New Roman" w:cs="Times New Roman" w:eastAsia="Times New Roman" w:hAnsi="Times New Roman"/>
          <w:sz w:val="20"/>
          <w:szCs w:val="20"/>
          <w:color w:val="auto"/>
        </w:rPr>
        <w:t>The following shares of Common Stock previously issued pursuant to an Award and accordingly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w:t>
      </w:r>
    </w:p>
    <w:p>
      <w:pPr>
        <w:spacing w:after="0" w:line="4" w:lineRule="exact"/>
        <w:rPr>
          <w:rFonts w:ascii="Times New Roman" w:cs="Times New Roman" w:eastAsia="Times New Roman" w:hAnsi="Times New Roman"/>
          <w:sz w:val="20"/>
          <w:szCs w:val="20"/>
          <w:b w:val="1"/>
          <w:bCs w:val="1"/>
          <w:color w:val="auto"/>
        </w:rPr>
      </w:pPr>
    </w:p>
    <w:p>
      <w:pPr>
        <w:jc w:val="both"/>
        <w:ind w:left="200" w:right="219" w:firstLine="9"/>
        <w:spacing w:after="0" w:line="242" w:lineRule="auto"/>
        <w:tabs>
          <w:tab w:leader="none" w:pos="50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that are reacquired by the Company to satisfy the exercise, strike or purchase price of an Award; and (3) any shares that are reacquired by the Company to satisfy a tax withholding obligation in connection with an Award.</w:t>
      </w:r>
    </w:p>
    <w:p>
      <w:pPr>
        <w:spacing w:after="0" w:line="182"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1"/>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 AND LIMITATIONS.</w:t>
      </w:r>
    </w:p>
    <w:p>
      <w:pPr>
        <w:spacing w:after="0" w:line="215"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2"/>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Eligible Award Recipients. </w:t>
      </w:r>
      <w:r>
        <w:rPr>
          <w:rFonts w:ascii="Times New Roman" w:cs="Times New Roman" w:eastAsia="Times New Roman" w:hAnsi="Times New Roman"/>
          <w:sz w:val="20"/>
          <w:szCs w:val="20"/>
          <w:color w:val="auto"/>
        </w:rPr>
        <w:t>Subject to the terms of the Plan, Employees,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Consultants are eligible to receive Awards.</w:t>
      </w:r>
    </w:p>
    <w:p>
      <w:pPr>
        <w:spacing w:after="0" w:line="151"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2"/>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Specific Award Limitations.</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953"/>
        <w:spacing w:after="0" w:line="256" w:lineRule="auto"/>
        <w:tabs>
          <w:tab w:leader="none" w:pos="2792" w:val="left"/>
        </w:tabs>
        <w:numPr>
          <w:ilvl w:val="3"/>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Limitations on Incentive Stock Option Recipients. </w:t>
      </w:r>
      <w:r>
        <w:rPr>
          <w:rFonts w:ascii="Times New Roman" w:cs="Times New Roman" w:eastAsia="Times New Roman" w:hAnsi="Times New Roman"/>
          <w:sz w:val="20"/>
          <w:szCs w:val="20"/>
          <w:color w:val="auto"/>
        </w:rPr>
        <w:t>Incentive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may be granted only to Employees of the Company or a “parent corporation” or “subsidiary corporation” thereof (as such terms are defined in Sections 424(e) and (f) of the Code).</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953"/>
        <w:spacing w:after="0" w:line="244" w:lineRule="auto"/>
        <w:tabs>
          <w:tab w:leader="none" w:pos="2792" w:val="left"/>
        </w:tabs>
        <w:numPr>
          <w:ilvl w:val="3"/>
          <w:numId w:val="2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Incentive Stock Option $100,000 Limitation. </w:t>
      </w:r>
      <w:r>
        <w:rPr>
          <w:rFonts w:ascii="Times New Roman" w:cs="Times New Roman" w:eastAsia="Times New Roman" w:hAnsi="Times New Roman"/>
          <w:sz w:val="20"/>
          <w:szCs w:val="20"/>
          <w:color w:val="auto"/>
        </w:rPr>
        <w:t>To the extent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28" w:name="page229"/>
    <w:bookmarkEnd w:id="228"/>
    <w:p>
      <w:pPr>
        <w:jc w:val="both"/>
        <w:ind w:left="200" w:right="219" w:firstLine="1953"/>
        <w:spacing w:after="0" w:line="268" w:lineRule="auto"/>
        <w:tabs>
          <w:tab w:leader="none" w:pos="2792" w:val="left"/>
        </w:tabs>
        <w:numPr>
          <w:ilvl w:val="2"/>
          <w:numId w:val="2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Limitations on Incentive Stock Options Granted to Ten Percent Stockholders. </w:t>
      </w:r>
      <w:r>
        <w:rPr>
          <w:rFonts w:ascii="Times New Roman" w:cs="Times New Roman" w:eastAsia="Times New Roman" w:hAnsi="Times New Roman"/>
          <w:sz w:val="19"/>
          <w:szCs w:val="19"/>
          <w:color w:val="auto"/>
        </w:rPr>
        <w:t>A Ten Percent Stockholder may not be granted an Incentive Stock Option unless (i)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exercise price of such Option is at least 110% of the Fair Market Value on the date of grant of such Option and (ii) the Option is not exercisable after the expiration of five years from the date of grant of such Option.</w:t>
      </w:r>
    </w:p>
    <w:p>
      <w:pPr>
        <w:spacing w:after="0" w:line="158" w:lineRule="exact"/>
        <w:rPr>
          <w:rFonts w:ascii="Times New Roman" w:cs="Times New Roman" w:eastAsia="Times New Roman" w:hAnsi="Times New Roman"/>
          <w:sz w:val="19"/>
          <w:szCs w:val="19"/>
          <w:b w:val="1"/>
          <w:bCs w:val="1"/>
          <w:color w:val="auto"/>
        </w:rPr>
      </w:pPr>
    </w:p>
    <w:p>
      <w:pPr>
        <w:jc w:val="both"/>
        <w:ind w:left="200" w:right="219" w:firstLine="1953"/>
        <w:spacing w:after="0" w:line="246" w:lineRule="auto"/>
        <w:tabs>
          <w:tab w:leader="none" w:pos="2792" w:val="left"/>
        </w:tabs>
        <w:numPr>
          <w:ilvl w:val="2"/>
          <w:numId w:val="2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Limitations on Nonstatutory Stock Options and SARs. </w:t>
      </w:r>
      <w:r>
        <w:rPr>
          <w:rFonts w:ascii="Times New Roman" w:cs="Times New Roman" w:eastAsia="Times New Roman" w:hAnsi="Times New Roman"/>
          <w:sz w:val="20"/>
          <w:szCs w:val="20"/>
          <w:color w:val="auto"/>
        </w:rPr>
        <w:t>Nonstatutory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8"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1"/>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Aggregate Incentive Stock Option Limit. </w:t>
      </w:r>
      <w:r>
        <w:rPr>
          <w:rFonts w:ascii="Times New Roman" w:cs="Times New Roman" w:eastAsia="Times New Roman" w:hAnsi="Times New Roman"/>
          <w:sz w:val="20"/>
          <w:szCs w:val="20"/>
          <w:color w:val="auto"/>
        </w:rPr>
        <w:t>The aggregate maximum number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shares of the Common Stock that may be issued pursuant to the exercise of Incentive Stock Options is the number of shares specified in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4" w:lineRule="auto"/>
        <w:tabs>
          <w:tab w:leader="none" w:pos="2144" w:val="left"/>
        </w:tabs>
        <w:numPr>
          <w:ilvl w:val="1"/>
          <w:numId w:val="2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Non-Employee Director Compensation Limit. </w:t>
      </w:r>
      <w:r>
        <w:rPr>
          <w:rFonts w:ascii="Times New Roman" w:cs="Times New Roman" w:eastAsia="Times New Roman" w:hAnsi="Times New Roman"/>
          <w:sz w:val="20"/>
          <w:szCs w:val="20"/>
          <w:color w:val="auto"/>
        </w:rPr>
        <w:t>The aggregate value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compensation granted or paid, 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w:t>
      </w:r>
      <w:r>
        <w:rPr>
          <w:rFonts w:ascii="Times New Roman" w:cs="Times New Roman" w:eastAsia="Times New Roman" w:hAnsi="Times New Roman"/>
          <w:sz w:val="20"/>
          <w:szCs w:val="20"/>
          <w:u w:val="single" w:color="auto"/>
          <w:color w:val="auto"/>
        </w:rPr>
        <w:t>Section 3(d)</w:t>
      </w:r>
      <w:r>
        <w:rPr>
          <w:rFonts w:ascii="Times New Roman" w:cs="Times New Roman" w:eastAsia="Times New Roman" w:hAnsi="Times New Roman"/>
          <w:sz w:val="20"/>
          <w:szCs w:val="20"/>
          <w:color w:val="auto"/>
        </w:rPr>
        <w:t xml:space="preserve"> shall apply beginning with the first calendar year that commences following the Effective Date.</w:t>
      </w:r>
    </w:p>
    <w:p>
      <w:pPr>
        <w:spacing w:after="0" w:line="181"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2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OPTIONS AND STOCK APPRECIATION RIGHTS.</w:t>
      </w:r>
    </w:p>
    <w:p>
      <w:pPr>
        <w:spacing w:after="0" w:line="22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The shares purchased upon exercise of each type of Option will be accounted for separately. Each SAR will be denominated in shares of the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5" w:lineRule="exact"/>
        <w:rPr>
          <w:sz w:val="20"/>
          <w:szCs w:val="20"/>
          <w:color w:val="auto"/>
        </w:rPr>
      </w:pPr>
    </w:p>
    <w:p>
      <w:pPr>
        <w:jc w:val="both"/>
        <w:ind w:left="200" w:right="219" w:firstLine="1305"/>
        <w:spacing w:after="0" w:line="256" w:lineRule="auto"/>
        <w:tabs>
          <w:tab w:leader="none" w:pos="2144" w:val="left"/>
        </w:tabs>
        <w:numPr>
          <w:ilvl w:val="0"/>
          <w:numId w:val="2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Incentive Stock Options granted to 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Percent Stockholders, no Option or SAR will be exercisable after the expiration of ten years from the date of grant of such Award or such shorter period specified in the Award Agreement.</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0"/>
          <w:numId w:val="2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or Strike Price.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Ten Percent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0"/>
          <w:numId w:val="2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Procedure and Payment of Exercise Price for Options. </w:t>
      </w:r>
      <w:r>
        <w:rPr>
          <w:rFonts w:ascii="Times New Roman" w:cs="Times New Roman" w:eastAsia="Times New Roman" w:hAnsi="Times New Roman"/>
          <w:sz w:val="20"/>
          <w:szCs w:val="20"/>
          <w:color w:val="auto"/>
        </w:rPr>
        <w:t>In order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an Option, the Participant must provide notice of exercise to the Plan Administrator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601980</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29" w:name="page230"/>
    <w:bookmarkEnd w:id="229"/>
    <w:p>
      <w:pPr>
        <w:jc w:val="both"/>
        <w:ind w:left="200" w:right="219"/>
        <w:spacing w:after="0" w:line="245" w:lineRule="auto"/>
        <w:rPr>
          <w:sz w:val="20"/>
          <w:szCs w:val="20"/>
          <w:color w:val="auto"/>
        </w:rPr>
      </w:pPr>
      <w:r>
        <w:rPr>
          <w:rFonts w:ascii="Times New Roman" w:cs="Times New Roman" w:eastAsia="Times New Roman" w:hAnsi="Times New Roman"/>
          <w:sz w:val="20"/>
          <w:szCs w:val="20"/>
          <w:color w:val="auto"/>
        </w:rPr>
        <w:t>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4" w:lineRule="exact"/>
        <w:rPr>
          <w:sz w:val="20"/>
          <w:szCs w:val="20"/>
          <w:color w:val="auto"/>
        </w:rPr>
      </w:pPr>
    </w:p>
    <w:p>
      <w:pPr>
        <w:ind w:left="200" w:right="219" w:firstLine="1953"/>
        <w:spacing w:after="0" w:line="269" w:lineRule="auto"/>
        <w:tabs>
          <w:tab w:leader="none" w:pos="2792"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cash or check, wire, bank draft or money order (or an electronic equivalent thereof) payable to the Company;</w:t>
      </w:r>
    </w:p>
    <w:p>
      <w:pPr>
        <w:spacing w:after="0" w:line="159" w:lineRule="exact"/>
        <w:rPr>
          <w:rFonts w:ascii="Times New Roman" w:cs="Times New Roman" w:eastAsia="Times New Roman" w:hAnsi="Times New Roman"/>
          <w:sz w:val="20"/>
          <w:szCs w:val="20"/>
          <w:b w:val="1"/>
          <w:bCs w:val="1"/>
          <w:color w:val="auto"/>
        </w:rPr>
      </w:pPr>
    </w:p>
    <w:p>
      <w:pPr>
        <w:jc w:val="both"/>
        <w:ind w:left="200" w:right="219" w:firstLine="1953"/>
        <w:spacing w:after="0" w:line="249" w:lineRule="auto"/>
        <w:tabs>
          <w:tab w:leader="none" w:pos="2792"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953"/>
        <w:spacing w:after="0" w:line="243" w:lineRule="auto"/>
        <w:tabs>
          <w:tab w:leader="none" w:pos="2792"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953"/>
        <w:spacing w:after="0" w:line="245" w:lineRule="auto"/>
        <w:tabs>
          <w:tab w:leader="none" w:pos="2792"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4" w:lineRule="exact"/>
        <w:rPr>
          <w:rFonts w:ascii="Times New Roman" w:cs="Times New Roman" w:eastAsia="Times New Roman" w:hAnsi="Times New Roman"/>
          <w:sz w:val="20"/>
          <w:szCs w:val="20"/>
          <w:b w:val="1"/>
          <w:bCs w:val="1"/>
          <w:color w:val="auto"/>
        </w:rPr>
      </w:pPr>
    </w:p>
    <w:p>
      <w:pPr>
        <w:ind w:left="200" w:right="219" w:firstLine="1953"/>
        <w:spacing w:after="0" w:line="269" w:lineRule="auto"/>
        <w:tabs>
          <w:tab w:leader="none" w:pos="2792"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any other form of consideration that may be acceptable to the Board and permissible under Applicable Law.</w:t>
      </w:r>
    </w:p>
    <w:p>
      <w:pPr>
        <w:spacing w:after="0" w:line="155"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Procedure and Payment of Appreciation Distribution for SARs. </w:t>
      </w:r>
      <w:r>
        <w:rPr>
          <w:rFonts w:ascii="Times New Roman" w:cs="Times New Roman" w:eastAsia="Times New Roman" w:hAnsi="Times New Roman"/>
          <w:sz w:val="20"/>
          <w:szCs w:val="20"/>
          <w:color w:val="auto"/>
        </w:rPr>
        <w:t>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the Common Stock equal to the number of the Common Stock equivalents that are vested and being exercised under such SAR, over (ii) the strike price of such SAR. Such appreciation distribution may be paid to the Participant in the form of the Common Stock or cash (or any combination of the Common Stock and cash) or in any other form of payment, as determined by the Board and specified in the SAR Agreement.</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Options and SARs may not be transferred to third party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619760</wp:posOffset>
            </wp:positionV>
            <wp:extent cx="54521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0" w:name="page231"/>
    <w:bookmarkEnd w:id="230"/>
    <w:p>
      <w:pPr>
        <w:ind w:left="200" w:right="219"/>
        <w:spacing w:after="0" w:line="269" w:lineRule="auto"/>
        <w:rPr>
          <w:sz w:val="20"/>
          <w:szCs w:val="20"/>
          <w:color w:val="auto"/>
        </w:rPr>
      </w:pPr>
      <w:r>
        <w:rPr>
          <w:rFonts w:ascii="Times New Roman" w:cs="Times New Roman" w:eastAsia="Times New Roman" w:hAnsi="Times New Roman"/>
          <w:sz w:val="20"/>
          <w:szCs w:val="20"/>
          <w:color w:val="auto"/>
        </w:rPr>
        <w:t>that if an Option is an Incentive Stock Option, such Option may be deemed to be a Nonstatutory Stock Option as a result of such transfer:</w:t>
      </w:r>
    </w:p>
    <w:p>
      <w:pPr>
        <w:spacing w:after="0" w:line="155" w:lineRule="exact"/>
        <w:rPr>
          <w:sz w:val="20"/>
          <w:szCs w:val="20"/>
          <w:color w:val="auto"/>
        </w:rPr>
      </w:pPr>
    </w:p>
    <w:p>
      <w:pPr>
        <w:jc w:val="both"/>
        <w:ind w:left="200" w:right="219" w:firstLine="1953"/>
        <w:spacing w:after="0" w:line="244" w:lineRule="auto"/>
        <w:tabs>
          <w:tab w:leader="none" w:pos="2792" w:val="left"/>
        </w:tabs>
        <w:numPr>
          <w:ilvl w:val="1"/>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Transfer. </w:t>
      </w:r>
      <w:r>
        <w:rPr>
          <w:rFonts w:ascii="Times New Roman" w:cs="Times New Roman" w:eastAsia="Times New Roman" w:hAnsi="Times New Roman"/>
          <w:sz w:val="20"/>
          <w:szCs w:val="20"/>
          <w:color w:val="auto"/>
        </w:rPr>
        <w:t>An Option or SAR will not be transferable,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81" w:lineRule="exact"/>
        <w:rPr>
          <w:rFonts w:ascii="Times New Roman" w:cs="Times New Roman" w:eastAsia="Times New Roman" w:hAnsi="Times New Roman"/>
          <w:sz w:val="20"/>
          <w:szCs w:val="20"/>
          <w:b w:val="1"/>
          <w:bCs w:val="1"/>
          <w:color w:val="auto"/>
        </w:rPr>
      </w:pPr>
    </w:p>
    <w:p>
      <w:pPr>
        <w:jc w:val="both"/>
        <w:ind w:left="200" w:right="219" w:firstLine="1953"/>
        <w:spacing w:after="0" w:line="250" w:lineRule="auto"/>
        <w:tabs>
          <w:tab w:leader="none" w:pos="2792" w:val="left"/>
        </w:tabs>
        <w:numPr>
          <w:ilvl w:val="1"/>
          <w:numId w:val="2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Notwithstanding the foregoing,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execution of transfer documentation in a format acceptable to the Company and subject to the approval of the Board or a duly authorized Officer, an Option or SAR may be transferred pursuant to a domestic relations order.</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305"/>
        <w:spacing w:after="0" w:line="244" w:lineRule="auto"/>
        <w:tabs>
          <w:tab w:leader="none" w:pos="2144"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Continuous Service for Cause. </w:t>
      </w:r>
      <w:r>
        <w:rPr>
          <w:rFonts w:ascii="Times New Roman" w:cs="Times New Roman" w:eastAsia="Times New Roman" w:hAnsi="Times New Roman"/>
          <w:sz w:val="20"/>
          <w:szCs w:val="20"/>
          <w:color w:val="auto"/>
        </w:rPr>
        <w:t>Except as explicitly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1"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4(i)</w:t>
      </w:r>
      <w:r>
        <w:rPr>
          <w:rFonts w:ascii="Times New Roman" w:cs="Times New Roman" w:eastAsia="Times New Roman" w:hAnsi="Times New Roman"/>
          <w:sz w:val="20"/>
          <w:szCs w:val="20"/>
          <w:color w:val="auto"/>
        </w:rPr>
        <w:t>, if a Participant’s Continuous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terminates for any reason other than for Cause, the Participant may exercise their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b w:val="1"/>
          <w:bCs w:val="1"/>
          <w:color w:val="auto"/>
        </w:rPr>
      </w:pPr>
    </w:p>
    <w:p>
      <w:pPr>
        <w:ind w:left="200" w:right="219" w:firstLine="1953"/>
        <w:spacing w:after="0" w:line="269" w:lineRule="auto"/>
        <w:tabs>
          <w:tab w:leader="none" w:pos="2792" w:val="left"/>
        </w:tabs>
        <w:numPr>
          <w:ilvl w:val="1"/>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three months following the date of such termination if such termination is a termination without Cause (other than any termination due to the Participant’s Disability or death);</w:t>
      </w:r>
    </w:p>
    <w:p>
      <w:pPr>
        <w:spacing w:after="0" w:line="159"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1"/>
          <w:numId w:val="2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12 months following the date of such termination if such termination is due</w:t>
      </w:r>
    </w:p>
    <w:p>
      <w:pPr>
        <w:spacing w:after="0" w:line="33" w:lineRule="exact"/>
        <w:rPr>
          <w:rFonts w:ascii="Times New Roman" w:cs="Times New Roman" w:eastAsia="Times New Roman" w:hAnsi="Times New Roman"/>
          <w:sz w:val="19"/>
          <w:szCs w:val="19"/>
          <w:b w:val="1"/>
          <w:bCs w:val="1"/>
          <w:color w:val="auto"/>
        </w:rPr>
      </w:pPr>
    </w:p>
    <w:p>
      <w:pPr>
        <w:ind w:left="2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to the Participant’s Disability;</w:t>
      </w:r>
    </w:p>
    <w:p>
      <w:pPr>
        <w:spacing w:after="0" w:line="193" w:lineRule="exact"/>
        <w:rPr>
          <w:rFonts w:ascii="Times New Roman" w:cs="Times New Roman" w:eastAsia="Times New Roman" w:hAnsi="Times New Roman"/>
          <w:sz w:val="19"/>
          <w:szCs w:val="19"/>
          <w:b w:val="1"/>
          <w:bCs w:val="1"/>
          <w:color w:val="auto"/>
        </w:rPr>
      </w:pPr>
    </w:p>
    <w:p>
      <w:pPr>
        <w:ind w:left="2800" w:hanging="647"/>
        <w:spacing w:after="0"/>
        <w:tabs>
          <w:tab w:leader="none" w:pos="2800" w:val="left"/>
        </w:tabs>
        <w:numPr>
          <w:ilvl w:val="1"/>
          <w:numId w:val="2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18 months following the date of such termination if such termination is due</w:t>
      </w:r>
    </w:p>
    <w:p>
      <w:pPr>
        <w:spacing w:after="0" w:line="33" w:lineRule="exact"/>
        <w:rPr>
          <w:rFonts w:ascii="Times New Roman" w:cs="Times New Roman" w:eastAsia="Times New Roman" w:hAnsi="Times New Roman"/>
          <w:sz w:val="19"/>
          <w:szCs w:val="19"/>
          <w:b w:val="1"/>
          <w:bCs w:val="1"/>
          <w:color w:val="auto"/>
        </w:rPr>
      </w:pPr>
    </w:p>
    <w:p>
      <w:pPr>
        <w:ind w:left="2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to the Participant’s death; or</w:t>
      </w:r>
    </w:p>
    <w:p>
      <w:pPr>
        <w:spacing w:after="0" w:line="193" w:lineRule="exact"/>
        <w:rPr>
          <w:rFonts w:ascii="Times New Roman" w:cs="Times New Roman" w:eastAsia="Times New Roman" w:hAnsi="Times New Roman"/>
          <w:sz w:val="19"/>
          <w:szCs w:val="19"/>
          <w:b w:val="1"/>
          <w:bCs w:val="1"/>
          <w:color w:val="auto"/>
        </w:rPr>
      </w:pPr>
    </w:p>
    <w:p>
      <w:pPr>
        <w:jc w:val="both"/>
        <w:ind w:left="200" w:right="219" w:firstLine="1953"/>
        <w:spacing w:after="0" w:line="254" w:lineRule="auto"/>
        <w:tabs>
          <w:tab w:leader="none" w:pos="2792" w:val="left"/>
        </w:tabs>
        <w:numPr>
          <w:ilvl w:val="1"/>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following the date of the Participant’s death if such death occurs following the date of such termination but during the period such Award is otherwise exercisable (as provided in (i) or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614045</wp:posOffset>
            </wp:positionV>
            <wp:extent cx="545211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1" w:name="page232"/>
    <w:bookmarkEnd w:id="231"/>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1" w:lineRule="exact"/>
        <w:rPr>
          <w:sz w:val="20"/>
          <w:szCs w:val="20"/>
          <w:color w:val="auto"/>
        </w:rPr>
      </w:pPr>
    </w:p>
    <w:p>
      <w:pPr>
        <w:jc w:val="both"/>
        <w:ind w:left="200" w:right="219" w:firstLine="1305"/>
        <w:spacing w:after="0" w:line="242" w:lineRule="auto"/>
        <w:tabs>
          <w:tab w:leader="none" w:pos="2144" w:val="left"/>
        </w:tabs>
        <w:numPr>
          <w:ilvl w:val="2"/>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Exercise; Extension of Exercisability. </w:t>
      </w:r>
      <w:r>
        <w:rPr>
          <w:rFonts w:ascii="Times New Roman" w:cs="Times New Roman" w:eastAsia="Times New Roman" w:hAnsi="Times New Roman"/>
          <w:sz w:val="20"/>
          <w:szCs w:val="20"/>
          <w:color w:val="auto"/>
        </w:rPr>
        <w:t>A Participant may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b w:val="1"/>
          <w:bCs w:val="1"/>
          <w:color w:val="auto"/>
        </w:rPr>
      </w:pPr>
    </w:p>
    <w:p>
      <w:pPr>
        <w:jc w:val="both"/>
        <w:ind w:left="200" w:right="219" w:firstLine="1305"/>
        <w:spacing w:after="0" w:line="244" w:lineRule="auto"/>
        <w:tabs>
          <w:tab w:leader="none" w:pos="2144" w:val="left"/>
        </w:tabs>
        <w:numPr>
          <w:ilvl w:val="2"/>
          <w:numId w:val="2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Non-Exempt Employees. </w:t>
      </w:r>
      <w:r>
        <w:rPr>
          <w:rFonts w:ascii="Times New Roman" w:cs="Times New Roman" w:eastAsia="Times New Roman" w:hAnsi="Times New Roman"/>
          <w:sz w:val="20"/>
          <w:szCs w:val="20"/>
          <w:color w:val="auto"/>
        </w:rPr>
        <w:t>No Option or SAR, whether or not vested, granted to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w:t>
      </w:r>
    </w:p>
    <w:p>
      <w:pPr>
        <w:jc w:val="both"/>
        <w:ind w:left="200" w:right="219" w:firstLine="9"/>
        <w:spacing w:after="0"/>
        <w:tabs>
          <w:tab w:leader="none" w:pos="495"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w:t>
      </w:r>
      <w:r>
        <w:rPr>
          <w:rFonts w:ascii="Times New Roman" w:cs="Times New Roman" w:eastAsia="Times New Roman" w:hAnsi="Times New Roman"/>
          <w:sz w:val="20"/>
          <w:szCs w:val="20"/>
          <w:u w:val="single" w:color="auto"/>
          <w:color w:val="auto"/>
        </w:rPr>
        <w:t>Section 4(j)</w:t>
      </w:r>
      <w:r>
        <w:rPr>
          <w:rFonts w:ascii="Times New Roman" w:cs="Times New Roman" w:eastAsia="Times New Roman" w:hAnsi="Times New Roman"/>
          <w:sz w:val="20"/>
          <w:szCs w:val="20"/>
          <w:color w:val="auto"/>
        </w:rPr>
        <w:t xml:space="preserve"> is intended to operate so that any income derived by a non-exempt employee in connection with the exercise or vesting of an Option or SAR will be exempt from their regular rate of pay.</w:t>
      </w:r>
    </w:p>
    <w:p>
      <w:pPr>
        <w:spacing w:after="0" w:line="187" w:lineRule="exact"/>
        <w:rPr>
          <w:rFonts w:ascii="Times New Roman" w:cs="Times New Roman" w:eastAsia="Times New Roman" w:hAnsi="Times New Roman"/>
          <w:sz w:val="20"/>
          <w:szCs w:val="20"/>
          <w:color w:val="auto"/>
        </w:rPr>
      </w:pPr>
    </w:p>
    <w:p>
      <w:pPr>
        <w:ind w:left="200" w:right="239" w:firstLine="1305"/>
        <w:spacing w:after="0" w:line="273" w:lineRule="auto"/>
        <w:tabs>
          <w:tab w:leader="none" w:pos="2144" w:val="left"/>
        </w:tabs>
        <w:numPr>
          <w:ilvl w:val="2"/>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Whole Shares. </w:t>
      </w:r>
      <w:r>
        <w:rPr>
          <w:rFonts w:ascii="Times New Roman" w:cs="Times New Roman" w:eastAsia="Times New Roman" w:hAnsi="Times New Roman"/>
          <w:sz w:val="20"/>
          <w:szCs w:val="20"/>
          <w:color w:val="auto"/>
        </w:rPr>
        <w:t>Options and SARs may be exercised only with respect to whole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the Common Stock or their equivalents.</w:t>
      </w:r>
    </w:p>
    <w:p>
      <w:pPr>
        <w:spacing w:after="0" w:line="151"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1"/>
          <w:numId w:val="2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AWARDS OTHER THAN OPTIONS AND STOCK APPRECIATION RIGHTS.</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2"/>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Restricted Stock Awards and RSU Awards. </w:t>
      </w:r>
      <w:r>
        <w:rPr>
          <w:rFonts w:ascii="Times New Roman" w:cs="Times New Roman" w:eastAsia="Times New Roman" w:hAnsi="Times New Roman"/>
          <w:sz w:val="20"/>
          <w:szCs w:val="20"/>
          <w:color w:val="auto"/>
        </w:rPr>
        <w:t>Each Restricted Stock Award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80"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3"/>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 of Award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2601"/>
        <w:spacing w:after="0" w:line="256" w:lineRule="auto"/>
        <w:tabs>
          <w:tab w:leader="none" w:pos="3440" w:val="left"/>
        </w:tabs>
        <w:numPr>
          <w:ilvl w:val="4"/>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RSAs</w:t>
      </w:r>
      <w:r>
        <w:rPr>
          <w:rFonts w:ascii="Times New Roman" w:cs="Times New Roman" w:eastAsia="Times New Roman" w:hAnsi="Times New Roman"/>
          <w:sz w:val="20"/>
          <w:szCs w:val="20"/>
          <w:color w:val="auto"/>
        </w:rPr>
        <w:t>. To the extent consistent with the Company’s Bylaws,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Board’s election, shares of the Common Stock subject to a Restricted Stock Award may be (A) held in book entry form subject to the Company’s instructions until such shares become vested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612775</wp:posOffset>
            </wp:positionV>
            <wp:extent cx="545211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2" w:name="page233"/>
    <w:bookmarkEnd w:id="232"/>
    <w:p>
      <w:pPr>
        <w:jc w:val="both"/>
        <w:ind w:left="200" w:right="219"/>
        <w:spacing w:after="0" w:line="274" w:lineRule="auto"/>
        <w:rPr>
          <w:sz w:val="20"/>
          <w:szCs w:val="20"/>
          <w:color w:val="auto"/>
        </w:rPr>
      </w:pPr>
      <w:r>
        <w:rPr>
          <w:rFonts w:ascii="Times New Roman" w:cs="Times New Roman" w:eastAsia="Times New Roman" w:hAnsi="Times New Roman"/>
          <w:sz w:val="19"/>
          <w:szCs w:val="19"/>
          <w:color w:val="auto"/>
        </w:rPr>
        <w:t>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52" w:lineRule="exact"/>
        <w:rPr>
          <w:sz w:val="20"/>
          <w:szCs w:val="20"/>
          <w:color w:val="auto"/>
        </w:rPr>
      </w:pPr>
    </w:p>
    <w:p>
      <w:pPr>
        <w:jc w:val="both"/>
        <w:ind w:left="200" w:right="219" w:firstLine="2601"/>
        <w:spacing w:after="0" w:line="243" w:lineRule="auto"/>
        <w:tabs>
          <w:tab w:leader="none" w:pos="3440" w:val="left"/>
        </w:tabs>
        <w:numPr>
          <w:ilvl w:val="1"/>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An RSU Award represents a Participant’s right to be issued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a future date the number of shares of the Common Stock that is equal to the number of restricted stock units subject to the RSU Award. As a holder of an RSU Award, a Participant is an unsecured creditor of the Company with respect to the Company’s unfunded obligation, if any, to issue shares of the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5"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2601"/>
        <w:spacing w:after="0" w:line="250" w:lineRule="auto"/>
        <w:tabs>
          <w:tab w:leader="none" w:pos="3440" w:val="left"/>
        </w:tabs>
        <w:numPr>
          <w:ilvl w:val="1"/>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RSA</w:t>
      </w:r>
      <w:r>
        <w:rPr>
          <w:rFonts w:ascii="Times New Roman" w:cs="Times New Roman" w:eastAsia="Times New Roman" w:hAnsi="Times New Roman"/>
          <w:sz w:val="20"/>
          <w:szCs w:val="20"/>
          <w:color w:val="auto"/>
        </w:rPr>
        <w:t>. A Restricted Stock Award may be granted in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 cash or check, wire, bank draft or money order payable to the Company, (B) past services to the Company or an Affiliate, or (C) any other form of consideration (including future services)as the Board may determine and permissible under Applicable Law.</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2601"/>
        <w:spacing w:after="0" w:line="243" w:lineRule="auto"/>
        <w:tabs>
          <w:tab w:leader="none" w:pos="3440" w:val="left"/>
        </w:tabs>
        <w:numPr>
          <w:ilvl w:val="1"/>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RSU</w:t>
      </w:r>
      <w:r>
        <w:rPr>
          <w:rFonts w:ascii="Times New Roman" w:cs="Times New Roman" w:eastAsia="Times New Roman" w:hAnsi="Times New Roman"/>
          <w:sz w:val="20"/>
          <w:szCs w:val="20"/>
          <w:color w:val="auto"/>
        </w:rPr>
        <w:t>. Unless otherwise determined by the Board at the time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the Common Stock pursuant to the RSU Award. If, at the time of grant, the Board determines that any consideration must be paid by the Participant (in a form other than the Participant’s services to the Company or an Affiliate) upon the issuance of any shares of the Common Stock in settlement of the RSU Award, such consideration may be paid in any form of consideration as the Board may determine and permissible under Applicable Law.</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953"/>
        <w:spacing w:after="0" w:line="247" w:lineRule="auto"/>
        <w:tabs>
          <w:tab w:leader="none" w:pos="2792"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953"/>
        <w:spacing w:after="0" w:line="243" w:lineRule="auto"/>
        <w:tabs>
          <w:tab w:leader="none" w:pos="2792"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Continuous Service. </w:t>
      </w:r>
      <w:r>
        <w:rPr>
          <w:rFonts w:ascii="Times New Roman" w:cs="Times New Roman" w:eastAsia="Times New Roman" w:hAnsi="Times New Roman"/>
          <w:sz w:val="20"/>
          <w:szCs w:val="20"/>
          <w:color w:val="auto"/>
        </w:rPr>
        <w:t>Except as otherwise provided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Agreement or other written agreement between a Participant and the Company or an Affiliate, if a Participant’s Continuous Service terminates for any reason, (1) the Company may receive through a forfeiture condition or a repurchase right any or all of the shares of the Common Stock held by the Participant under their Restricted Stock Award that have not vested as of the date of such termination as set forth in the Restricted Stock Award Agreement and (2) any portion of their RSU Award that has not vested will be forfeited upon such termination and the Participant will have no further right, title or interest in the RSU Award, the shares of the Common Stock issuable pursuant to the RSU Award, or any consideration in respect of the RSU Award.</w:t>
      </w:r>
    </w:p>
    <w:p>
      <w:pPr>
        <w:spacing w:after="0" w:line="185"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Dividends and Dividend Equivalents. </w:t>
      </w:r>
      <w:r>
        <w:rPr>
          <w:rFonts w:ascii="Times New Roman" w:cs="Times New Roman" w:eastAsia="Times New Roman" w:hAnsi="Times New Roman"/>
          <w:sz w:val="20"/>
          <w:szCs w:val="20"/>
          <w:color w:val="auto"/>
        </w:rPr>
        <w:t>Dividends or dividend equivalents</w:t>
      </w:r>
    </w:p>
    <w:p>
      <w:pPr>
        <w:spacing w:after="0" w:line="25" w:lineRule="exact"/>
        <w:rPr>
          <w:rFonts w:ascii="Times New Roman" w:cs="Times New Roman" w:eastAsia="Times New Roman" w:hAnsi="Times New Roman"/>
          <w:sz w:val="20"/>
          <w:szCs w:val="20"/>
          <w:b w:val="1"/>
          <w:bCs w:val="1"/>
          <w:color w:val="auto"/>
        </w:rPr>
      </w:pPr>
    </w:p>
    <w:p>
      <w:pPr>
        <w:ind w:left="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may be paid or credited, as applicable, with respect to any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626110</wp:posOffset>
            </wp:positionV>
            <wp:extent cx="545211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3" w:name="page234"/>
    <w:bookmarkEnd w:id="233"/>
    <w:p>
      <w:pPr>
        <w:ind w:left="200" w:right="219"/>
        <w:spacing w:after="0" w:line="269" w:lineRule="auto"/>
        <w:rPr>
          <w:sz w:val="20"/>
          <w:szCs w:val="20"/>
          <w:color w:val="auto"/>
        </w:rPr>
      </w:pPr>
      <w:r>
        <w:rPr>
          <w:rFonts w:ascii="Times New Roman" w:cs="Times New Roman" w:eastAsia="Times New Roman" w:hAnsi="Times New Roman"/>
          <w:sz w:val="20"/>
          <w:szCs w:val="20"/>
          <w:color w:val="auto"/>
        </w:rPr>
        <w:t>subject to a Restricted Stock Award or RSU Award, as determined by the Board and specified in the Award Agreement).</w:t>
      </w:r>
    </w:p>
    <w:p>
      <w:pPr>
        <w:spacing w:after="0" w:line="155" w:lineRule="exact"/>
        <w:rPr>
          <w:sz w:val="20"/>
          <w:szCs w:val="20"/>
          <w:color w:val="auto"/>
        </w:rPr>
      </w:pPr>
    </w:p>
    <w:p>
      <w:pPr>
        <w:jc w:val="both"/>
        <w:ind w:left="200" w:right="219" w:firstLine="1953"/>
        <w:spacing w:after="0" w:line="247" w:lineRule="auto"/>
        <w:tabs>
          <w:tab w:leader="none" w:pos="2792" w:val="left"/>
        </w:tabs>
        <w:numPr>
          <w:ilvl w:val="2"/>
          <w:numId w:val="2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RSU Awards</w:t>
      </w:r>
      <w:r>
        <w:rPr>
          <w:rFonts w:ascii="Times New Roman" w:cs="Times New Roman" w:eastAsia="Times New Roman" w:hAnsi="Times New Roman"/>
          <w:sz w:val="20"/>
          <w:szCs w:val="20"/>
          <w:color w:val="auto"/>
        </w:rPr>
        <w:t>. An RSU Award may be settled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issuance of shares of the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1"/>
          <w:numId w:val="2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Awards</w:t>
      </w:r>
      <w:r>
        <w:rPr>
          <w:rFonts w:ascii="Times New Roman" w:cs="Times New Roman" w:eastAsia="Times New Roman" w:hAnsi="Times New Roman"/>
          <w:sz w:val="20"/>
          <w:szCs w:val="20"/>
          <w:color w:val="auto"/>
        </w:rPr>
        <w:t>. With respect to any Performance Award, the length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Period, the Performance Goals to be achieved during the Performance Period, the other terms and conditions of such Award, and the measure of whether and to what degree such Performance Goals have been attained will be determined by the Board.</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305"/>
        <w:spacing w:after="0" w:line="244" w:lineRule="auto"/>
        <w:tabs>
          <w:tab w:leader="none" w:pos="2144" w:val="left"/>
        </w:tabs>
        <w:numPr>
          <w:ilvl w:val="1"/>
          <w:numId w:val="2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Awards</w:t>
      </w:r>
      <w:r>
        <w:rPr>
          <w:rFonts w:ascii="Times New Roman" w:cs="Times New Roman" w:eastAsia="Times New Roman" w:hAnsi="Times New Roman"/>
          <w:sz w:val="20"/>
          <w:szCs w:val="20"/>
          <w:color w:val="auto"/>
        </w:rPr>
        <w:t>. Other forms of Awards valued in whole or in part by reference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otherwise based on, the Common Stock, including the appreciation in value thereof (e.g., options or stock rights with an exercise price or strike price less than 100% of the Fair Market Value at the time of grant) may be granted either alone or in addition to Awards provided for under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and the preceding provisions of this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Subject to the provisions of the Plan, the Board will have sole and complete discretion to determine the persons to whom and the time or times at which such Other Awards will be granted, the number of shares of the Common Stock (or the cash equivalent thereof) to be granted pursuant to such Other Awards and all other terms and conditions of such Other Awards.</w:t>
      </w:r>
    </w:p>
    <w:p>
      <w:pPr>
        <w:spacing w:after="0" w:line="181"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2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ADJUSTMENTS UPON CHANGES IN COMMON STOCK; OTHER CORPORATE</w:t>
      </w:r>
    </w:p>
    <w:p>
      <w:pPr>
        <w:spacing w:after="0" w:line="37" w:lineRule="exact"/>
        <w:rPr>
          <w:rFonts w:ascii="Times New Roman" w:cs="Times New Roman" w:eastAsia="Times New Roman" w:hAnsi="Times New Roman"/>
          <w:sz w:val="19"/>
          <w:szCs w:val="19"/>
          <w:b w:val="1"/>
          <w:bCs w:val="1"/>
          <w:color w:val="auto"/>
        </w:rPr>
      </w:pPr>
    </w:p>
    <w:p>
      <w:pPr>
        <w:ind w:left="2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EVENTS.</w:t>
      </w:r>
    </w:p>
    <w:p>
      <w:pPr>
        <w:spacing w:after="0" w:line="189" w:lineRule="exact"/>
        <w:rPr>
          <w:rFonts w:ascii="Times New Roman" w:cs="Times New Roman" w:eastAsia="Times New Roman" w:hAnsi="Times New Roman"/>
          <w:sz w:val="19"/>
          <w:szCs w:val="19"/>
          <w:b w:val="1"/>
          <w:bCs w:val="1"/>
          <w:color w:val="auto"/>
        </w:rPr>
      </w:pPr>
    </w:p>
    <w:p>
      <w:pPr>
        <w:jc w:val="both"/>
        <w:ind w:left="200" w:right="219" w:firstLine="1305"/>
        <w:spacing w:after="0" w:line="256" w:lineRule="auto"/>
        <w:tabs>
          <w:tab w:leader="none" w:pos="2144" w:val="left"/>
        </w:tabs>
        <w:numPr>
          <w:ilvl w:val="1"/>
          <w:numId w:val="2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Capitalization Adjustments</w:t>
      </w:r>
      <w:r>
        <w:rPr>
          <w:rFonts w:ascii="Times New Roman" w:cs="Times New Roman" w:eastAsia="Times New Roman" w:hAnsi="Times New Roman"/>
          <w:sz w:val="19"/>
          <w:szCs w:val="19"/>
          <w:color w:val="auto"/>
        </w:rPr>
        <w:t>. In the event of a Capitalization Adjustment,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Board shall appropriately and proportionately adjust: (i) the class(es) and maximum number of shares of the Common Stock subject to the Plan and the maximum number of shares by which the Share Reserve may annually increase pursuant to </w:t>
      </w:r>
      <w:r>
        <w:rPr>
          <w:rFonts w:ascii="Times New Roman" w:cs="Times New Roman" w:eastAsia="Times New Roman" w:hAnsi="Times New Roman"/>
          <w:sz w:val="19"/>
          <w:szCs w:val="19"/>
          <w:u w:val="single" w:color="auto"/>
          <w:color w:val="auto"/>
        </w:rPr>
        <w:t>Section 2(a)</w:t>
      </w:r>
      <w:r>
        <w:rPr>
          <w:rFonts w:ascii="Times New Roman" w:cs="Times New Roman" w:eastAsia="Times New Roman" w:hAnsi="Times New Roman"/>
          <w:sz w:val="19"/>
          <w:szCs w:val="19"/>
          <w:color w:val="auto"/>
        </w:rPr>
        <w:t xml:space="preserve">; (ii) the class(es) and maximum number of shares that may be issued pursuant to the exercise of Incentive Stock Options pursuant to </w:t>
      </w:r>
      <w:r>
        <w:rPr>
          <w:rFonts w:ascii="Times New Roman" w:cs="Times New Roman" w:eastAsia="Times New Roman" w:hAnsi="Times New Roman"/>
          <w:sz w:val="19"/>
          <w:szCs w:val="19"/>
          <w:u w:val="single" w:color="auto"/>
          <w:color w:val="auto"/>
        </w:rPr>
        <w:t>Section 2(b)</w:t>
      </w:r>
      <w:r>
        <w:rPr>
          <w:rFonts w:ascii="Times New Roman" w:cs="Times New Roman" w:eastAsia="Times New Roman" w:hAnsi="Times New Roman"/>
          <w:sz w:val="19"/>
          <w:szCs w:val="19"/>
          <w:color w:val="auto"/>
        </w:rPr>
        <w:t xml:space="preserve">; and (iii) the class(es) and number of securities and exercise price, strike price or purchase price of the Common Stock subject to outstanding Awards. The Board shall make such adjustments, and its determination shall be final, binding and conclusive. Notwithstanding the foregoing, no fractional shares or rights for fractional shares of the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w:t>
      </w:r>
    </w:p>
    <w:p>
      <w:pPr>
        <w:spacing w:after="0" w:line="177" w:lineRule="exact"/>
        <w:rPr>
          <w:rFonts w:ascii="Times New Roman" w:cs="Times New Roman" w:eastAsia="Times New Roman" w:hAnsi="Times New Roman"/>
          <w:sz w:val="19"/>
          <w:szCs w:val="19"/>
          <w:b w:val="1"/>
          <w:bCs w:val="1"/>
          <w:color w:val="auto"/>
        </w:rPr>
      </w:pPr>
    </w:p>
    <w:p>
      <w:pPr>
        <w:jc w:val="both"/>
        <w:ind w:left="200" w:right="219" w:firstLine="1305"/>
        <w:spacing w:after="0" w:line="243" w:lineRule="auto"/>
        <w:tabs>
          <w:tab w:leader="none" w:pos="2144" w:val="left"/>
        </w:tabs>
        <w:numPr>
          <w:ilvl w:val="1"/>
          <w:numId w:val="2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Dissolution or Liquidation</w:t>
      </w:r>
      <w:r>
        <w:rPr>
          <w:rFonts w:ascii="Times New Roman" w:cs="Times New Roman" w:eastAsia="Times New Roman" w:hAnsi="Times New Roman"/>
          <w:sz w:val="20"/>
          <w:szCs w:val="20"/>
          <w:color w:val="auto"/>
        </w:rPr>
        <w:t>. Except as otherwise provided in the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 the event of a dissolution or liquidation of the Company, all outstanding Awards (other than Awards consisting of vested and outstanding shares of the Common Stock not subject to a forfeiture condition or the Company’s right of repurchase) will terminate immediately prior to the completion of such dissolution or liquidation, and the shares of the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4" w:name="page235"/>
    <w:bookmarkEnd w:id="234"/>
    <w:p>
      <w:pPr>
        <w:jc w:val="both"/>
        <w:ind w:left="200" w:right="219" w:firstLine="1305"/>
        <w:spacing w:after="0" w:line="250" w:lineRule="auto"/>
        <w:tabs>
          <w:tab w:leader="none" w:pos="2144" w:val="left"/>
        </w:tabs>
        <w:numPr>
          <w:ilvl w:val="1"/>
          <w:numId w:val="2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The following provisions will apply to Awards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event of a Corporate Transaction, except as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unless otherwise provided in the instrument evidencing the Award or any other written agreement between the Company or any Affiliate and the Participant or unless otherwise expressly provided by the Board at the time of grant of an Award.</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953"/>
        <w:spacing w:after="0" w:line="242" w:lineRule="auto"/>
        <w:tabs>
          <w:tab w:leader="none" w:pos="2792" w:val="left"/>
        </w:tabs>
        <w:numPr>
          <w:ilvl w:val="2"/>
          <w:numId w:val="2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May Be Assumed. </w:t>
      </w:r>
      <w:r>
        <w:rPr>
          <w:rFonts w:ascii="Times New Roman" w:cs="Times New Roman" w:eastAsia="Times New Roman" w:hAnsi="Times New Roman"/>
          <w:sz w:val="20"/>
          <w:szCs w:val="20"/>
          <w:color w:val="auto"/>
        </w:rPr>
        <w:t>In the event of a Corporate Transaction,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surviving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the Common Stock issued pursuant to Awards may be assigned by the Company to the successor of the Company (or the successor’s parent company, if any), in connection with such Corporate Transaction. A surviving or acquiring corporation (or its applicable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9" w:lineRule="exact"/>
        <w:rPr>
          <w:rFonts w:ascii="Times New Roman" w:cs="Times New Roman" w:eastAsia="Times New Roman" w:hAnsi="Times New Roman"/>
          <w:sz w:val="20"/>
          <w:szCs w:val="20"/>
          <w:b w:val="1"/>
          <w:bCs w:val="1"/>
          <w:color w:val="auto"/>
        </w:rPr>
      </w:pPr>
    </w:p>
    <w:p>
      <w:pPr>
        <w:jc w:val="both"/>
        <w:ind w:left="200" w:right="219" w:firstLine="1953"/>
        <w:spacing w:after="0" w:line="254" w:lineRule="auto"/>
        <w:tabs>
          <w:tab w:leader="none" w:pos="2792" w:val="left"/>
        </w:tabs>
        <w:numPr>
          <w:ilvl w:val="2"/>
          <w:numId w:val="28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Awards Held by Current Participants. </w:t>
      </w:r>
      <w:r>
        <w:rPr>
          <w:rFonts w:ascii="Times New Roman" w:cs="Times New Roman" w:eastAsia="Times New Roman" w:hAnsi="Times New Roman"/>
          <w:sz w:val="19"/>
          <w:szCs w:val="19"/>
          <w:color w:val="auto"/>
        </w:rPr>
        <w:t>In the event of a Corporate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Transaction in which the surviving or acquiring corporation (or its parent company) does not assume or continue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9"/>
          <w:szCs w:val="19"/>
          <w:b w:val="1"/>
          <w:bCs w:val="1"/>
          <w:i w:val="1"/>
          <w:iCs w:val="1"/>
          <w:color w:val="auto"/>
        </w:rPr>
        <w:t>“Current Participants”</w:t>
      </w:r>
      <w:r>
        <w:rPr>
          <w:rFonts w:ascii="Times New Roman" w:cs="Times New Roman" w:eastAsia="Times New Roman" w:hAnsi="Times New Roman"/>
          <w:sz w:val="19"/>
          <w:szCs w:val="19"/>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that the Board determines (or, if the Board does not determine such a date, to the date that is five (5) days prior to the effective time of the Corporate Transaction). Awards so accelerated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(a) will accelerate upon the occurrence of a Corporate Transaction pursuant to this subsection (ii) and</w:t>
      </w:r>
    </w:p>
    <w:p>
      <w:pPr>
        <w:spacing w:after="0" w:line="1" w:lineRule="exact"/>
        <w:rPr>
          <w:rFonts w:ascii="Times New Roman" w:cs="Times New Roman" w:eastAsia="Times New Roman" w:hAnsi="Times New Roman"/>
          <w:sz w:val="19"/>
          <w:szCs w:val="19"/>
          <w:b w:val="1"/>
          <w:bCs w:val="1"/>
          <w:color w:val="auto"/>
        </w:rPr>
      </w:pPr>
    </w:p>
    <w:p>
      <w:pPr>
        <w:jc w:val="both"/>
        <w:ind w:left="200" w:right="219" w:firstLine="9"/>
        <w:spacing w:after="0"/>
        <w:tabs>
          <w:tab w:leader="none" w:pos="502"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have multiple vesting levels depending on the level of performance, unless otherwise provided in the Award Agreement or unless otherwise provided by the Board, the vesting of such Performance Awards will accelerate at 100% of the target level upon the occurrence of a Corporate Transaction in which the Awards are not assumed, continued or substituted for in accordance with </w:t>
      </w:r>
      <w:r>
        <w:rPr>
          <w:rFonts w:ascii="Times New Roman" w:cs="Times New Roman" w:eastAsia="Times New Roman" w:hAnsi="Times New Roman"/>
          <w:sz w:val="20"/>
          <w:szCs w:val="20"/>
          <w:u w:val="single" w:color="auto"/>
          <w:color w:val="auto"/>
        </w:rPr>
        <w:t>Section 6(c)(i)</w:t>
      </w:r>
      <w:r>
        <w:rPr>
          <w:rFonts w:ascii="Times New Roman" w:cs="Times New Roman" w:eastAsia="Times New Roman" w:hAnsi="Times New Roman"/>
          <w:sz w:val="20"/>
          <w:szCs w:val="20"/>
          <w:color w:val="auto"/>
        </w:rPr>
        <w:t>. With respect to the vesting of cash-settled Awards that will accelerate upon the occurrence of a Corporate Transaction pursuant to this subsection (ii), such cash payment will be made no later than 30 days following the occurrence of the Corporate Transaction or such later date as required by Section 409A of the Code.</w:t>
      </w:r>
    </w:p>
    <w:p>
      <w:pPr>
        <w:spacing w:after="0" w:line="186" w:lineRule="exact"/>
        <w:rPr>
          <w:rFonts w:ascii="Times New Roman" w:cs="Times New Roman" w:eastAsia="Times New Roman" w:hAnsi="Times New Roman"/>
          <w:sz w:val="20"/>
          <w:szCs w:val="20"/>
          <w:color w:val="auto"/>
        </w:rPr>
      </w:pPr>
    </w:p>
    <w:p>
      <w:pPr>
        <w:jc w:val="both"/>
        <w:ind w:left="200" w:right="219" w:firstLine="1953"/>
        <w:spacing w:after="0" w:line="244" w:lineRule="auto"/>
        <w:tabs>
          <w:tab w:leader="none" w:pos="2792" w:val="left"/>
        </w:tabs>
        <w:numPr>
          <w:ilvl w:val="2"/>
          <w:numId w:val="2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Held by Persons other than Current Participants. </w:t>
      </w:r>
      <w:r>
        <w:rPr>
          <w:rFonts w:ascii="Times New Roman" w:cs="Times New Roman" w:eastAsia="Times New Roman" w:hAnsi="Times New Roman"/>
          <w:sz w:val="20"/>
          <w:szCs w:val="20"/>
          <w:color w:val="auto"/>
        </w:rPr>
        <w:t>In the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Corporate Transaction in which the surviving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1" w:lineRule="exact"/>
        <w:rPr>
          <w:rFonts w:ascii="Times New Roman" w:cs="Times New Roman" w:eastAsia="Times New Roman" w:hAnsi="Times New Roman"/>
          <w:sz w:val="20"/>
          <w:szCs w:val="20"/>
          <w:b w:val="1"/>
          <w:bCs w:val="1"/>
          <w:color w:val="auto"/>
        </w:rPr>
      </w:pPr>
    </w:p>
    <w:p>
      <w:pPr>
        <w:ind w:left="200" w:right="219" w:firstLine="1953"/>
        <w:spacing w:after="0" w:line="273" w:lineRule="auto"/>
        <w:tabs>
          <w:tab w:leader="none" w:pos="2792" w:val="left"/>
        </w:tabs>
        <w:numPr>
          <w:ilvl w:val="2"/>
          <w:numId w:val="2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Payment for Awards in Lieu of Exercise. </w:t>
      </w:r>
      <w:r>
        <w:rPr>
          <w:rFonts w:ascii="Times New Roman" w:cs="Times New Roman" w:eastAsia="Times New Roman" w:hAnsi="Times New Roman"/>
          <w:sz w:val="20"/>
          <w:szCs w:val="20"/>
          <w:color w:val="auto"/>
        </w:rPr>
        <w:t>Notwithstanding the foregoing,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event an Award will terminate if not exercised prior to the effective time of a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601980</wp:posOffset>
            </wp:positionV>
            <wp:extent cx="545211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35" w:name="page236"/>
    <w:bookmarkEnd w:id="235"/>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81" w:lineRule="exact"/>
        <w:rPr>
          <w:sz w:val="20"/>
          <w:szCs w:val="20"/>
          <w:color w:val="auto"/>
        </w:rPr>
      </w:pPr>
    </w:p>
    <w:p>
      <w:pPr>
        <w:jc w:val="both"/>
        <w:ind w:left="200" w:right="219" w:firstLine="1305"/>
        <w:spacing w:after="0" w:line="247" w:lineRule="auto"/>
        <w:tabs>
          <w:tab w:leader="none" w:pos="2144" w:val="left"/>
        </w:tabs>
        <w:numPr>
          <w:ilvl w:val="2"/>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Appointment of Stockholder Representative. </w:t>
      </w:r>
      <w:r>
        <w:rPr>
          <w:rFonts w:ascii="Times New Roman" w:cs="Times New Roman" w:eastAsia="Times New Roman" w:hAnsi="Times New Roman"/>
          <w:sz w:val="20"/>
          <w:szCs w:val="20"/>
          <w:color w:val="auto"/>
        </w:rPr>
        <w:t>As a condition to the receipt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2"/>
          <w:numId w:val="2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Restriction on Right to Undertake Transactions</w:t>
      </w:r>
      <w:r>
        <w:rPr>
          <w:rFonts w:ascii="Times New Roman" w:cs="Times New Roman" w:eastAsia="Times New Roman" w:hAnsi="Times New Roman"/>
          <w:sz w:val="20"/>
          <w:szCs w:val="20"/>
          <w:color w:val="auto"/>
        </w:rPr>
        <w:t>. The grant of any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the Common Stock, or the dissolution or liquidation of the Company, or any sale or transfer of all or any part of its assets or business, or any other corporate act or proceeding, whether of a similar character or otherwise.</w:t>
      </w:r>
    </w:p>
    <w:p>
      <w:pPr>
        <w:spacing w:after="0" w:line="185"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1"/>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53" w:lineRule="auto"/>
        <w:tabs>
          <w:tab w:leader="none" w:pos="2144" w:val="left"/>
        </w:tabs>
        <w:numPr>
          <w:ilvl w:val="2"/>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by Board. </w:t>
      </w:r>
      <w:r>
        <w:rPr>
          <w:rFonts w:ascii="Times New Roman" w:cs="Times New Roman" w:eastAsia="Times New Roman" w:hAnsi="Times New Roman"/>
          <w:sz w:val="20"/>
          <w:szCs w:val="20"/>
          <w:color w:val="auto"/>
        </w:rPr>
        <w:t>The Board will administer the Plan unless and until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delegates administration of the Plan to a Committee or Committees, as provided in subsection</w:t>
      </w:r>
    </w:p>
    <w:p>
      <w:pPr>
        <w:ind w:left="480" w:hanging="271"/>
        <w:spacing w:after="0"/>
        <w:tabs>
          <w:tab w:leader="none" w:pos="48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w:t>
      </w:r>
    </w:p>
    <w:p>
      <w:pPr>
        <w:spacing w:after="0" w:line="189" w:lineRule="exact"/>
        <w:rPr>
          <w:rFonts w:ascii="Times New Roman" w:cs="Times New Roman" w:eastAsia="Times New Roman" w:hAnsi="Times New Roman"/>
          <w:sz w:val="20"/>
          <w:szCs w:val="20"/>
          <w:color w:val="auto"/>
        </w:rPr>
      </w:pPr>
    </w:p>
    <w:p>
      <w:pPr>
        <w:ind w:left="200" w:right="219" w:firstLine="1305"/>
        <w:spacing w:after="0" w:line="273" w:lineRule="auto"/>
        <w:tabs>
          <w:tab w:leader="none" w:pos="2144" w:val="left"/>
        </w:tabs>
        <w:numPr>
          <w:ilvl w:val="2"/>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Powers of Board. </w:t>
      </w:r>
      <w:r>
        <w:rPr>
          <w:rFonts w:ascii="Times New Roman" w:cs="Times New Roman" w:eastAsia="Times New Roman" w:hAnsi="Times New Roman"/>
          <w:sz w:val="20"/>
          <w:szCs w:val="20"/>
          <w:color w:val="auto"/>
        </w:rPr>
        <w:t>The Board will have the power, subject to, and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limitations of, the express provisions of the Plan:</w:t>
      </w:r>
    </w:p>
    <w:p>
      <w:pPr>
        <w:spacing w:after="0" w:line="155" w:lineRule="exact"/>
        <w:rPr>
          <w:rFonts w:ascii="Times New Roman" w:cs="Times New Roman" w:eastAsia="Times New Roman" w:hAnsi="Times New Roman"/>
          <w:sz w:val="20"/>
          <w:szCs w:val="20"/>
          <w:b w:val="1"/>
          <w:bCs w:val="1"/>
          <w:color w:val="auto"/>
        </w:rPr>
      </w:pPr>
    </w:p>
    <w:p>
      <w:pPr>
        <w:jc w:val="both"/>
        <w:ind w:left="200" w:right="219" w:firstLine="1953"/>
        <w:spacing w:after="0" w:line="243" w:lineRule="auto"/>
        <w:tabs>
          <w:tab w:leader="none" w:pos="2792" w:val="left"/>
        </w:tabs>
        <w:numPr>
          <w:ilvl w:val="3"/>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the Common Stock or other payment pursuant to an Award; (5) the number of shares of the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953"/>
        <w:spacing w:after="0" w:line="249" w:lineRule="auto"/>
        <w:tabs>
          <w:tab w:leader="none" w:pos="2792" w:val="left"/>
        </w:tabs>
        <w:numPr>
          <w:ilvl w:val="3"/>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9"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3"/>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settle all controversies regarding the Plan and Awards granted under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640080</wp:posOffset>
            </wp:positionV>
            <wp:extent cx="5452110"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6" w:name="page237"/>
    <w:bookmarkEnd w:id="236"/>
    <w:p>
      <w:pPr>
        <w:jc w:val="both"/>
        <w:ind w:left="200" w:right="219" w:firstLine="1953"/>
        <w:spacing w:after="0" w:line="254"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74" w:lineRule="exact"/>
        <w:rPr>
          <w:rFonts w:ascii="Times New Roman" w:cs="Times New Roman" w:eastAsia="Times New Roman" w:hAnsi="Times New Roman"/>
          <w:sz w:val="20"/>
          <w:szCs w:val="20"/>
          <w:b w:val="1"/>
          <w:bCs w:val="1"/>
          <w:color w:val="auto"/>
        </w:rPr>
      </w:pPr>
    </w:p>
    <w:p>
      <w:pPr>
        <w:jc w:val="both"/>
        <w:ind w:left="200" w:right="219" w:firstLine="1953"/>
        <w:spacing w:after="0" w:line="245"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the Common Stock or the share price of the Common Stock including any Corporate Transaction, for reasons of administrative convenience.</w:t>
      </w:r>
    </w:p>
    <w:p>
      <w:pPr>
        <w:spacing w:after="0" w:line="184" w:lineRule="exact"/>
        <w:rPr>
          <w:rFonts w:ascii="Times New Roman" w:cs="Times New Roman" w:eastAsia="Times New Roman" w:hAnsi="Times New Roman"/>
          <w:sz w:val="20"/>
          <w:szCs w:val="20"/>
          <w:b w:val="1"/>
          <w:bCs w:val="1"/>
          <w:color w:val="auto"/>
        </w:rPr>
      </w:pPr>
    </w:p>
    <w:p>
      <w:pPr>
        <w:jc w:val="both"/>
        <w:ind w:left="200" w:right="219" w:firstLine="1953"/>
        <w:spacing w:after="0" w:line="254"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74" w:lineRule="exact"/>
        <w:rPr>
          <w:rFonts w:ascii="Times New Roman" w:cs="Times New Roman" w:eastAsia="Times New Roman" w:hAnsi="Times New Roman"/>
          <w:sz w:val="20"/>
          <w:szCs w:val="20"/>
          <w:b w:val="1"/>
          <w:bCs w:val="1"/>
          <w:color w:val="auto"/>
        </w:rPr>
      </w:pPr>
    </w:p>
    <w:p>
      <w:pPr>
        <w:jc w:val="both"/>
        <w:ind w:left="200" w:right="219" w:firstLine="1953"/>
        <w:spacing w:after="0" w:line="246"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amend the Plan in any respect the Board deems necessary or advisable; provided, 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84"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submit any amendment to the Plan for stockholder approval.</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953"/>
        <w:spacing w:after="0" w:line="245"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Participant’s rights under any Award will not be Materially Impaired by any such amendment unless (1) the Company requests the consent of the affected Participant, and (2) such Participant consents in writing.</w:t>
      </w:r>
    </w:p>
    <w:p>
      <w:pPr>
        <w:spacing w:after="0" w:line="184" w:lineRule="exact"/>
        <w:rPr>
          <w:rFonts w:ascii="Times New Roman" w:cs="Times New Roman" w:eastAsia="Times New Roman" w:hAnsi="Times New Roman"/>
          <w:sz w:val="20"/>
          <w:szCs w:val="20"/>
          <w:b w:val="1"/>
          <w:bCs w:val="1"/>
          <w:color w:val="auto"/>
        </w:rPr>
      </w:pPr>
    </w:p>
    <w:p>
      <w:pPr>
        <w:jc w:val="both"/>
        <w:ind w:left="200" w:right="219" w:firstLine="1953"/>
        <w:spacing w:after="0" w:line="254"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4" w:lineRule="exact"/>
        <w:rPr>
          <w:rFonts w:ascii="Times New Roman" w:cs="Times New Roman" w:eastAsia="Times New Roman" w:hAnsi="Times New Roman"/>
          <w:sz w:val="20"/>
          <w:szCs w:val="20"/>
          <w:b w:val="1"/>
          <w:bCs w:val="1"/>
          <w:color w:val="auto"/>
        </w:rPr>
      </w:pPr>
    </w:p>
    <w:p>
      <w:pPr>
        <w:jc w:val="both"/>
        <w:ind w:left="200" w:right="219" w:firstLine="1953"/>
        <w:spacing w:after="0" w:line="246"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4" w:lineRule="exact"/>
        <w:rPr>
          <w:rFonts w:ascii="Times New Roman" w:cs="Times New Roman" w:eastAsia="Times New Roman" w:hAnsi="Times New Roman"/>
          <w:sz w:val="20"/>
          <w:szCs w:val="20"/>
          <w:b w:val="1"/>
          <w:bCs w:val="1"/>
          <w:color w:val="auto"/>
        </w:rPr>
      </w:pPr>
    </w:p>
    <w:p>
      <w:pPr>
        <w:jc w:val="both"/>
        <w:ind w:left="200" w:right="219" w:firstLine="1953"/>
        <w:spacing w:after="0" w:line="244" w:lineRule="auto"/>
        <w:tabs>
          <w:tab w:leader="none" w:pos="2792" w:val="left"/>
        </w:tabs>
        <w:numPr>
          <w:ilvl w:val="1"/>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the Common Stock, (B) cash and/or (C) other valuable consideration (as determined by the Board); or (3) any other action that is treated as a repricing under generally accepted accounting principles.</w:t>
      </w:r>
    </w:p>
    <w:p>
      <w:pPr>
        <w:spacing w:after="0" w:line="181"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2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Delegation to Committee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642620</wp:posOffset>
            </wp:positionV>
            <wp:extent cx="545211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7" w:name="page238"/>
    <w:bookmarkEnd w:id="237"/>
    <w:p>
      <w:pPr>
        <w:jc w:val="both"/>
        <w:ind w:left="200" w:right="219" w:firstLine="1953"/>
        <w:spacing w:after="0" w:line="242" w:lineRule="auto"/>
        <w:tabs>
          <w:tab w:leader="none" w:pos="2792" w:val="left"/>
        </w:tabs>
        <w:numPr>
          <w:ilvl w:val="2"/>
          <w:numId w:val="2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The Board may delegate some or all of the administration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7" w:lineRule="exact"/>
        <w:rPr>
          <w:rFonts w:ascii="Times New Roman" w:cs="Times New Roman" w:eastAsia="Times New Roman" w:hAnsi="Times New Roman"/>
          <w:sz w:val="20"/>
          <w:szCs w:val="20"/>
          <w:b w:val="1"/>
          <w:bCs w:val="1"/>
          <w:color w:val="auto"/>
        </w:rPr>
      </w:pPr>
    </w:p>
    <w:p>
      <w:pPr>
        <w:jc w:val="both"/>
        <w:ind w:left="200" w:right="219" w:firstLine="1953"/>
        <w:spacing w:after="0" w:line="246" w:lineRule="auto"/>
        <w:tabs>
          <w:tab w:leader="none" w:pos="2792" w:val="left"/>
        </w:tabs>
        <w:numPr>
          <w:ilvl w:val="2"/>
          <w:numId w:val="2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Rule 16b-3 Compliance. </w:t>
      </w:r>
      <w:r>
        <w:rPr>
          <w:rFonts w:ascii="Times New Roman" w:cs="Times New Roman" w:eastAsia="Times New Roman" w:hAnsi="Times New Roman"/>
          <w:sz w:val="20"/>
          <w:szCs w:val="20"/>
          <w:color w:val="auto"/>
        </w:rPr>
        <w:t>To the extent an Award is intended to qualify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exemption from Section 16(b) of the Exchange Act that is available under Rule 16b-3 under the Exchange Act, the Award will be granted by the Board or a Committee that consists solely of two or more Non-Employee Directors, as determined under Rule 16b-3(b)(3) under the Exchange Act and thereafter any action establishing or modifying the terms of the Award will be approved by the Board or a Committee meeting such requirements to the extent necessary for such exemption to remain available.</w:t>
      </w:r>
    </w:p>
    <w:p>
      <w:pPr>
        <w:spacing w:after="0" w:line="178"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1"/>
          <w:numId w:val="2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of Board’s Decision. </w:t>
      </w:r>
      <w:r>
        <w:rPr>
          <w:rFonts w:ascii="Times New Roman" w:cs="Times New Roman" w:eastAsia="Times New Roman" w:hAnsi="Times New Roman"/>
          <w:sz w:val="20"/>
          <w:szCs w:val="20"/>
          <w:color w:val="auto"/>
        </w:rPr>
        <w:t>All determinations, interpretations and constructions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by the Board or any Committee in good faith will not be subject to review by any person and will be final, binding and conclusive on all persons.</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2" w:lineRule="auto"/>
        <w:tabs>
          <w:tab w:leader="none" w:pos="2144" w:val="left"/>
        </w:tabs>
        <w:numPr>
          <w:ilvl w:val="1"/>
          <w:numId w:val="2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Delegation to an Officer. </w:t>
      </w:r>
      <w:r>
        <w:rPr>
          <w:rFonts w:ascii="Times New Roman" w:cs="Times New Roman" w:eastAsia="Times New Roman" w:hAnsi="Times New Roman"/>
          <w:sz w:val="20"/>
          <w:szCs w:val="20"/>
          <w:color w:val="auto"/>
        </w:rPr>
        <w:t>The Board or any Committee may delegate to one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the Common Stock to be subject to such Awards granted to such Employees; provided, however, that the resolutions or charter adopted by the Board or any Committee evidencing such delegation will specify the total number of shares of the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84"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WITHHOLDING.</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44" w:lineRule="auto"/>
        <w:tabs>
          <w:tab w:leader="none" w:pos="2144" w:val="left"/>
        </w:tabs>
        <w:numPr>
          <w:ilvl w:val="1"/>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Authorization. </w:t>
      </w:r>
      <w:r>
        <w:rPr>
          <w:rFonts w:ascii="Times New Roman" w:cs="Times New Roman" w:eastAsia="Times New Roman" w:hAnsi="Times New Roman"/>
          <w:sz w:val="20"/>
          <w:szCs w:val="20"/>
          <w:color w:val="auto"/>
        </w:rPr>
        <w:t>As a condition to acceptance of any Award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the Common Stock subject to an Award, unless and until such obligations are satisfied.</w:t>
      </w:r>
    </w:p>
    <w:p>
      <w:pPr>
        <w:spacing w:after="0" w:line="181"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1"/>
          <w:numId w:val="2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Satisfaction of Withholding Obligation. </w:t>
      </w:r>
      <w:r>
        <w:rPr>
          <w:rFonts w:ascii="Times New Roman" w:cs="Times New Roman" w:eastAsia="Times New Roman" w:hAnsi="Times New Roman"/>
          <w:sz w:val="20"/>
          <w:szCs w:val="20"/>
          <w:color w:val="auto"/>
        </w:rPr>
        <w:t>To the extent permitted by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Award Agreement, the Company may, in its sole discretion, satisfy any U.S. federal, state, local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601980</wp:posOffset>
            </wp:positionV>
            <wp:extent cx="545211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38" w:name="page239"/>
    <w:bookmarkEnd w:id="238"/>
    <w:p>
      <w:pPr>
        <w:jc w:val="both"/>
        <w:ind w:left="200" w:right="239"/>
        <w:spacing w:after="0" w:line="245" w:lineRule="auto"/>
        <w:rPr>
          <w:sz w:val="20"/>
          <w:szCs w:val="20"/>
          <w:color w:val="auto"/>
        </w:rPr>
      </w:pPr>
      <w:r>
        <w:rPr>
          <w:rFonts w:ascii="Times New Roman" w:cs="Times New Roman" w:eastAsia="Times New Roman" w:hAnsi="Times New Roman"/>
          <w:sz w:val="20"/>
          <w:szCs w:val="20"/>
          <w:color w:val="auto"/>
        </w:rPr>
        <w:t>foreign tax or social insurance withholding obligation relating to an Award by any of the following means or by a combination of such means: (i) causing the Participant to tender a cash payment; (ii) withholding shares of the Common Stock from the shares of the Common Stock issued or otherwise issuable to the Participant in connection with the Award; (iii) withholding cash from an Award settled in cash;</w:t>
      </w:r>
    </w:p>
    <w:p>
      <w:pPr>
        <w:spacing w:after="0" w:line="1" w:lineRule="exact"/>
        <w:rPr>
          <w:sz w:val="20"/>
          <w:szCs w:val="20"/>
          <w:color w:val="auto"/>
        </w:rPr>
      </w:pPr>
    </w:p>
    <w:p>
      <w:pPr>
        <w:jc w:val="both"/>
        <w:ind w:left="200" w:right="219" w:firstLine="9"/>
        <w:spacing w:after="0" w:line="241" w:lineRule="auto"/>
        <w:tabs>
          <w:tab w:leader="none" w:pos="587"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4" w:lineRule="exact"/>
        <w:rPr>
          <w:rFonts w:ascii="Times New Roman" w:cs="Times New Roman" w:eastAsia="Times New Roman" w:hAnsi="Times New Roman"/>
          <w:sz w:val="20"/>
          <w:szCs w:val="20"/>
          <w:color w:val="auto"/>
        </w:rPr>
      </w:pPr>
    </w:p>
    <w:p>
      <w:pPr>
        <w:jc w:val="both"/>
        <w:ind w:left="200" w:right="219" w:firstLine="1305"/>
        <w:spacing w:after="0" w:line="241" w:lineRule="auto"/>
        <w:tabs>
          <w:tab w:leader="none" w:pos="2144" w:val="left"/>
        </w:tabs>
        <w:numPr>
          <w:ilvl w:val="2"/>
          <w:numId w:val="2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Obligation to Notify or Minimize Taxes; No Liability to Claims. </w:t>
      </w:r>
      <w:r>
        <w:rPr>
          <w:rFonts w:ascii="Times New Roman" w:cs="Times New Roman" w:eastAsia="Times New Roman" w:hAnsi="Times New Roman"/>
          <w:sz w:val="20"/>
          <w:szCs w:val="20"/>
          <w:color w:val="auto"/>
        </w:rPr>
        <w:t>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their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7"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2"/>
          <w:numId w:val="2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Indemnification. </w:t>
      </w:r>
      <w:r>
        <w:rPr>
          <w:rFonts w:ascii="Times New Roman" w:cs="Times New Roman" w:eastAsia="Times New Roman" w:hAnsi="Times New Roman"/>
          <w:sz w:val="20"/>
          <w:szCs w:val="20"/>
          <w:color w:val="auto"/>
        </w:rPr>
        <w:t>As a condition to accepting an Award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80"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1"/>
          <w:numId w:val="2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2"/>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 of Shares. </w:t>
      </w:r>
      <w:r>
        <w:rPr>
          <w:rFonts w:ascii="Times New Roman" w:cs="Times New Roman" w:eastAsia="Times New Roman" w:hAnsi="Times New Roman"/>
          <w:sz w:val="20"/>
          <w:szCs w:val="20"/>
          <w:color w:val="auto"/>
        </w:rPr>
        <w:t>The stock issuable under the Plan will be shares of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unissued or reacquired shares of the Common Stock, including shares repurchased by the Company on the open market or otherwise.</w:t>
      </w:r>
    </w:p>
    <w:p>
      <w:pPr>
        <w:spacing w:after="0" w:line="168"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2"/>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Use of Proceeds from Sales of the Common Stock. </w:t>
      </w:r>
      <w:r>
        <w:rPr>
          <w:rFonts w:ascii="Times New Roman" w:cs="Times New Roman" w:eastAsia="Times New Roman" w:hAnsi="Times New Roman"/>
          <w:sz w:val="20"/>
          <w:szCs w:val="20"/>
          <w:color w:val="auto"/>
        </w:rPr>
        <w:t>Proceeds from the sale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the Common Stock pursuant to Awards will constitute general funds of the Company.</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46" w:lineRule="auto"/>
        <w:tabs>
          <w:tab w:leader="none" w:pos="2144" w:val="left"/>
        </w:tabs>
        <w:numPr>
          <w:ilvl w:val="2"/>
          <w:numId w:val="2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Action Constituting Grant of Awards. </w:t>
      </w:r>
      <w:r>
        <w:rPr>
          <w:rFonts w:ascii="Times New Roman" w:cs="Times New Roman" w:eastAsia="Times New Roman" w:hAnsi="Times New Roman"/>
          <w:sz w:val="20"/>
          <w:szCs w:val="20"/>
          <w:color w:val="auto"/>
        </w:rPr>
        <w:t>Corporate action constituting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39" w:name="page240"/>
    <w:bookmarkEnd w:id="239"/>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76" w:lineRule="exact"/>
        <w:rPr>
          <w:sz w:val="20"/>
          <w:szCs w:val="20"/>
          <w:color w:val="auto"/>
        </w:rPr>
      </w:pPr>
    </w:p>
    <w:p>
      <w:pPr>
        <w:jc w:val="both"/>
        <w:ind w:left="200" w:right="219" w:firstLine="1305"/>
        <w:spacing w:after="0" w:line="247" w:lineRule="auto"/>
        <w:tabs>
          <w:tab w:leader="none" w:pos="2144" w:val="left"/>
        </w:tabs>
        <w:numPr>
          <w:ilvl w:val="1"/>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 Rights. </w:t>
      </w:r>
      <w:r>
        <w:rPr>
          <w:rFonts w:ascii="Times New Roman" w:cs="Times New Roman" w:eastAsia="Times New Roman" w:hAnsi="Times New Roman"/>
          <w:sz w:val="20"/>
          <w:szCs w:val="20"/>
          <w:color w:val="auto"/>
        </w:rPr>
        <w:t>No Participant will be deemed to be the holder of, or to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the rights of a holder with respect to, any shares of the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44" w:lineRule="auto"/>
        <w:tabs>
          <w:tab w:leader="none" w:pos="2144" w:val="left"/>
        </w:tabs>
        <w:numPr>
          <w:ilvl w:val="1"/>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Employment or Other Service Rights. </w:t>
      </w:r>
      <w:r>
        <w:rPr>
          <w:rFonts w:ascii="Times New Roman" w:cs="Times New Roman" w:eastAsia="Times New Roman" w:hAnsi="Times New Roman"/>
          <w:sz w:val="20"/>
          <w:szCs w:val="20"/>
          <w:color w:val="auto"/>
        </w:rPr>
        <w:t>Nothing in the Plan, any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w:t>
      </w:r>
    </w:p>
    <w:p>
      <w:pPr>
        <w:jc w:val="both"/>
        <w:ind w:left="200" w:right="219" w:firstLine="9"/>
        <w:spacing w:after="0"/>
        <w:tabs>
          <w:tab w:leader="none" w:pos="503"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5" w:lineRule="exact"/>
        <w:rPr>
          <w:rFonts w:ascii="Times New Roman" w:cs="Times New Roman" w:eastAsia="Times New Roman" w:hAnsi="Times New Roman"/>
          <w:sz w:val="20"/>
          <w:szCs w:val="20"/>
          <w:color w:val="auto"/>
        </w:rPr>
      </w:pPr>
    </w:p>
    <w:p>
      <w:pPr>
        <w:jc w:val="both"/>
        <w:ind w:left="200" w:right="219" w:firstLine="1305"/>
        <w:spacing w:after="0" w:line="243" w:lineRule="auto"/>
        <w:tabs>
          <w:tab w:leader="none" w:pos="2144" w:val="left"/>
        </w:tabs>
        <w:numPr>
          <w:ilvl w:val="1"/>
          <w:numId w:val="2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 in Time Commitment. </w:t>
      </w:r>
      <w:r>
        <w:rPr>
          <w:rFonts w:ascii="Times New Roman" w:cs="Times New Roman" w:eastAsia="Times New Roman" w:hAnsi="Times New Roman"/>
          <w:sz w:val="20"/>
          <w:szCs w:val="20"/>
          <w:color w:val="auto"/>
        </w:rPr>
        <w:t>In the event a Participant’s regular level of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commitment in the performance of their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1"/>
          <w:numId w:val="2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Execution of Additional Documents. </w:t>
      </w:r>
      <w:r>
        <w:rPr>
          <w:rFonts w:ascii="Times New Roman" w:cs="Times New Roman" w:eastAsia="Times New Roman" w:hAnsi="Times New Roman"/>
          <w:sz w:val="20"/>
          <w:szCs w:val="20"/>
          <w:color w:val="auto"/>
        </w:rPr>
        <w:t>As a condition to accepting an Award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1"/>
          <w:numId w:val="2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Electronic Delivery and Participation. </w:t>
      </w:r>
      <w:r>
        <w:rPr>
          <w:rFonts w:ascii="Times New Roman" w:cs="Times New Roman" w:eastAsia="Times New Roman" w:hAnsi="Times New Roman"/>
          <w:sz w:val="20"/>
          <w:szCs w:val="20"/>
          <w:color w:val="auto"/>
        </w:rPr>
        <w:t>Any reference herein or in an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0" w:name="page241"/>
    <w:bookmarkEnd w:id="240"/>
    <w:p>
      <w:pPr>
        <w:ind w:left="200" w:right="239"/>
        <w:spacing w:after="0" w:line="269" w:lineRule="auto"/>
        <w:rPr>
          <w:sz w:val="20"/>
          <w:szCs w:val="20"/>
          <w:color w:val="auto"/>
        </w:rPr>
      </w:pPr>
      <w:r>
        <w:rPr>
          <w:rFonts w:ascii="Times New Roman" w:cs="Times New Roman" w:eastAsia="Times New Roman" w:hAnsi="Times New Roman"/>
          <w:sz w:val="20"/>
          <w:szCs w:val="20"/>
          <w:color w:val="auto"/>
        </w:rPr>
        <w:t>of delivery of any the Common Stock (e.g., a stock certificate or electronic entry evidencing such shares) shall be determined by the Company.</w:t>
      </w:r>
    </w:p>
    <w:p>
      <w:pPr>
        <w:spacing w:after="0" w:line="155" w:lineRule="exact"/>
        <w:rPr>
          <w:sz w:val="20"/>
          <w:szCs w:val="20"/>
          <w:color w:val="auto"/>
        </w:rPr>
      </w:pPr>
    </w:p>
    <w:p>
      <w:pPr>
        <w:jc w:val="both"/>
        <w:ind w:left="200" w:right="219" w:firstLine="1305"/>
        <w:spacing w:after="0" w:line="242" w:lineRule="auto"/>
        <w:tabs>
          <w:tab w:leader="none" w:pos="2144"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Clawback/Recovery. </w:t>
      </w:r>
      <w:r>
        <w:rPr>
          <w:rFonts w:ascii="Times New Roman" w:cs="Times New Roman" w:eastAsia="Times New Roman" w:hAnsi="Times New Roman"/>
          <w:sz w:val="20"/>
          <w:szCs w:val="20"/>
          <w:color w:val="auto"/>
        </w:rPr>
        <w:t>All Awards granted under the Plan will be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the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7" w:lineRule="exact"/>
        <w:rPr>
          <w:rFonts w:ascii="Times New Roman" w:cs="Times New Roman" w:eastAsia="Times New Roman" w:hAnsi="Times New Roman"/>
          <w:sz w:val="20"/>
          <w:szCs w:val="20"/>
          <w:b w:val="1"/>
          <w:bCs w:val="1"/>
          <w:color w:val="auto"/>
        </w:rPr>
      </w:pPr>
    </w:p>
    <w:p>
      <w:pPr>
        <w:jc w:val="both"/>
        <w:ind w:left="200" w:right="219" w:firstLine="1305"/>
        <w:spacing w:after="0" w:line="246" w:lineRule="auto"/>
        <w:tabs>
          <w:tab w:leader="none" w:pos="2144"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Securities Law Compliance. </w:t>
      </w:r>
      <w:r>
        <w:rPr>
          <w:rFonts w:ascii="Times New Roman" w:cs="Times New Roman" w:eastAsia="Times New Roman" w:hAnsi="Times New Roman"/>
          <w:sz w:val="20"/>
          <w:szCs w:val="20"/>
          <w:color w:val="auto"/>
        </w:rPr>
        <w:t>A Participant will not be issued any shares in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8"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 or Assignment of Awards; Issued Shares. </w:t>
      </w:r>
      <w:r>
        <w:rPr>
          <w:rFonts w:ascii="Times New Roman" w:cs="Times New Roman" w:eastAsia="Times New Roman" w:hAnsi="Times New Roman"/>
          <w:sz w:val="20"/>
          <w:szCs w:val="20"/>
          <w:color w:val="auto"/>
        </w:rPr>
        <w:t>Except as expressly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305"/>
        <w:spacing w:after="0" w:line="246" w:lineRule="auto"/>
        <w:tabs>
          <w:tab w:leader="none" w:pos="2144"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on Other Employee Benefit Plans. </w:t>
      </w:r>
      <w:r>
        <w:rPr>
          <w:rFonts w:ascii="Times New Roman" w:cs="Times New Roman" w:eastAsia="Times New Roman" w:hAnsi="Times New Roman"/>
          <w:sz w:val="20"/>
          <w:szCs w:val="20"/>
          <w:color w:val="auto"/>
        </w:rPr>
        <w:t>The value of any Award granted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8"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Deferrals. </w:t>
      </w:r>
      <w:r>
        <w:rPr>
          <w:rFonts w:ascii="Times New Roman" w:cs="Times New Roman" w:eastAsia="Times New Roman" w:hAnsi="Times New Roman"/>
          <w:sz w:val="20"/>
          <w:szCs w:val="20"/>
          <w:color w:val="auto"/>
        </w:rPr>
        <w:t>To the extent permitted by Applicable Law, the Board, in its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discretion, may determine that the delivery of the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0"/>
          <w:numId w:val="2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409A. </w:t>
      </w:r>
      <w:r>
        <w:rPr>
          <w:rFonts w:ascii="Times New Roman" w:cs="Times New Roman" w:eastAsia="Times New Roman" w:hAnsi="Times New Roman"/>
          <w:sz w:val="20"/>
          <w:szCs w:val="20"/>
          <w:color w:val="auto"/>
        </w:rPr>
        <w:t>Unless otherwise expressly provided for in an Award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1" w:name="page242"/>
    <w:bookmarkEnd w:id="241"/>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compliance, such terms are hereby incorporated by reference into the Award Agreement. Notwithstanding anything to the contrary in this Plan (and unless the Award Agreement specifically provides otherwise), if the shares of the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8" w:lineRule="exact"/>
        <w:rPr>
          <w:sz w:val="20"/>
          <w:szCs w:val="20"/>
          <w:color w:val="auto"/>
        </w:rPr>
      </w:pPr>
    </w:p>
    <w:p>
      <w:pPr>
        <w:jc w:val="both"/>
        <w:ind w:left="200" w:right="219" w:firstLine="1305"/>
        <w:spacing w:after="0" w:line="250" w:lineRule="auto"/>
        <w:tabs>
          <w:tab w:leader="none" w:pos="2144" w:val="left"/>
        </w:tabs>
        <w:numPr>
          <w:ilvl w:val="1"/>
          <w:numId w:val="2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Plan and any controversy arising out of or relating to this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governed by, and construed in accordance with, the internal laws of the State of Delaware, without regard to conflict of law principles that would result in any application of any law other than the law of the State of Delaware.</w:t>
      </w:r>
    </w:p>
    <w:p>
      <w:pPr>
        <w:spacing w:after="0" w:line="175"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2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 OF THE COMPANY.</w:t>
      </w:r>
    </w:p>
    <w:p>
      <w:pPr>
        <w:spacing w:after="0" w:line="220"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The Company will seek to obtain from each regulatory commission or agency, as may be deemed to be necessary, having jurisdiction over the Plan such authority as may be required to grant Awards and to issue and sell shares of the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the Common Stock under the Plan, the Company will be relieved from any liability for failure to issue and sell the Common Stock upon exercise or vesting of such Awards unless and until such authority is obtained. A Participant is not eligible for the grant of an Award or the subsequent issuance of the Common Stock pursuant to the Award if such grant or issuance would be in violation of any Applicable Law.</w:t>
      </w:r>
    </w:p>
    <w:p>
      <w:pPr>
        <w:spacing w:after="0" w:line="186" w:lineRule="exact"/>
        <w:rPr>
          <w:sz w:val="20"/>
          <w:szCs w:val="20"/>
          <w:color w:val="auto"/>
        </w:rPr>
      </w:pPr>
    </w:p>
    <w:p>
      <w:pPr>
        <w:ind w:left="1500" w:hanging="643"/>
        <w:spacing w:after="0"/>
        <w:tabs>
          <w:tab w:leader="none" w:pos="1500" w:val="left"/>
        </w:tabs>
        <w:numPr>
          <w:ilvl w:val="0"/>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RULES FOR AWARDS SUBJECT TO SECTION 409A.</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76" w:lineRule="auto"/>
        <w:tabs>
          <w:tab w:leader="none" w:pos="2144" w:val="left"/>
        </w:tabs>
        <w:numPr>
          <w:ilvl w:val="1"/>
          <w:numId w:val="3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Application. </w:t>
      </w:r>
      <w:r>
        <w:rPr>
          <w:rFonts w:ascii="Times New Roman" w:cs="Times New Roman" w:eastAsia="Times New Roman" w:hAnsi="Times New Roman"/>
          <w:sz w:val="19"/>
          <w:szCs w:val="19"/>
          <w:color w:val="auto"/>
        </w:rPr>
        <w:t>Unless the provisions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Plan are expressly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superseded by the provisions in the form of Award Agreement, the provisions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apply and shall supersede anything to the contrary set forth in the Award Agreement for a Non-Exempt Award.</w:t>
      </w:r>
    </w:p>
    <w:p>
      <w:pPr>
        <w:spacing w:after="0" w:line="150" w:lineRule="exact"/>
        <w:rPr>
          <w:rFonts w:ascii="Times New Roman" w:cs="Times New Roman" w:eastAsia="Times New Roman" w:hAnsi="Times New Roman"/>
          <w:sz w:val="19"/>
          <w:szCs w:val="19"/>
          <w:b w:val="1"/>
          <w:bCs w:val="1"/>
          <w:color w:val="auto"/>
        </w:rPr>
      </w:pPr>
    </w:p>
    <w:p>
      <w:pPr>
        <w:jc w:val="both"/>
        <w:ind w:left="200" w:right="219" w:firstLine="1305"/>
        <w:spacing w:after="0" w:line="256" w:lineRule="auto"/>
        <w:tabs>
          <w:tab w:leader="none" w:pos="2144" w:val="left"/>
        </w:tabs>
        <w:numPr>
          <w:ilvl w:val="1"/>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Non-Exempt Awards Subject to Non-Exempt Severance Arrangements. </w:t>
      </w:r>
      <w:r>
        <w:rPr>
          <w:rFonts w:ascii="Times New Roman" w:cs="Times New Roman" w:eastAsia="Times New Roman" w:hAnsi="Times New Roman"/>
          <w:sz w:val="20"/>
          <w:szCs w:val="20"/>
          <w:color w:val="auto"/>
        </w:rPr>
        <w:t>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extent a Non-Exempt Award is subject to Section 409A due to application of a Non-Exempt Severance Arrangement, the following provisions of this subsection (b) apply.</w:t>
      </w:r>
    </w:p>
    <w:p>
      <w:pPr>
        <w:spacing w:after="0" w:line="172" w:lineRule="exact"/>
        <w:rPr>
          <w:rFonts w:ascii="Times New Roman" w:cs="Times New Roman" w:eastAsia="Times New Roman" w:hAnsi="Times New Roman"/>
          <w:sz w:val="20"/>
          <w:szCs w:val="20"/>
          <w:b w:val="1"/>
          <w:bCs w:val="1"/>
          <w:color w:val="auto"/>
        </w:rPr>
      </w:pPr>
    </w:p>
    <w:p>
      <w:pPr>
        <w:jc w:val="both"/>
        <w:ind w:left="200" w:right="219" w:firstLine="1953"/>
        <w:spacing w:after="0" w:line="245" w:lineRule="auto"/>
        <w:tabs>
          <w:tab w:leader="none" w:pos="2792" w:val="left"/>
        </w:tabs>
        <w:numPr>
          <w:ilvl w:val="2"/>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20"/>
          <w:szCs w:val="20"/>
          <w:color w:val="auto"/>
        </w:rPr>
        <w:t xml:space="preserve"> of the calendar year that includes the applicable vesting date, or (ii)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20"/>
          <w:szCs w:val="20"/>
          <w:color w:val="auto"/>
        </w:rPr>
        <w:t xml:space="preserve"> day that follows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620395</wp:posOffset>
            </wp:positionV>
            <wp:extent cx="545211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2" w:name="page243"/>
    <w:bookmarkEnd w:id="242"/>
    <w:p>
      <w:pPr>
        <w:jc w:val="both"/>
        <w:ind w:left="200" w:right="219" w:firstLine="1953"/>
        <w:spacing w:after="0" w:line="242" w:lineRule="auto"/>
        <w:tabs>
          <w:tab w:leader="none" w:pos="2792" w:val="left"/>
        </w:tabs>
        <w:numPr>
          <w:ilvl w:val="1"/>
          <w:numId w:val="3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20"/>
          <w:szCs w:val="20"/>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9" w:lineRule="exact"/>
        <w:rPr>
          <w:rFonts w:ascii="Times New Roman" w:cs="Times New Roman" w:eastAsia="Times New Roman" w:hAnsi="Times New Roman"/>
          <w:sz w:val="20"/>
          <w:szCs w:val="20"/>
          <w:b w:val="1"/>
          <w:bCs w:val="1"/>
          <w:color w:val="auto"/>
        </w:rPr>
      </w:pPr>
    </w:p>
    <w:p>
      <w:pPr>
        <w:jc w:val="both"/>
        <w:ind w:left="200" w:right="219" w:firstLine="1953"/>
        <w:spacing w:after="0" w:line="257" w:lineRule="auto"/>
        <w:tabs>
          <w:tab w:leader="none" w:pos="2792" w:val="left"/>
        </w:tabs>
        <w:numPr>
          <w:ilvl w:val="1"/>
          <w:numId w:val="3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71" w:lineRule="exact"/>
        <w:rPr>
          <w:rFonts w:ascii="Times New Roman" w:cs="Times New Roman" w:eastAsia="Times New Roman" w:hAnsi="Times New Roman"/>
          <w:sz w:val="19"/>
          <w:szCs w:val="19"/>
          <w:b w:val="1"/>
          <w:bCs w:val="1"/>
          <w:color w:val="auto"/>
        </w:rPr>
      </w:pPr>
    </w:p>
    <w:p>
      <w:pPr>
        <w:jc w:val="both"/>
        <w:ind w:left="200" w:right="219" w:firstLine="1305"/>
        <w:spacing w:after="0" w:line="247" w:lineRule="auto"/>
        <w:tabs>
          <w:tab w:leader="none" w:pos="2144" w:val="left"/>
        </w:tabs>
        <w:numPr>
          <w:ilvl w:val="0"/>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Treatment of Non-Exempt Awards Upon a Corporate Transaction for Employees and Consultants. </w:t>
      </w:r>
      <w:r>
        <w:rPr>
          <w:rFonts w:ascii="Times New Roman" w:cs="Times New Roman" w:eastAsia="Times New Roman" w:hAnsi="Times New Roman"/>
          <w:sz w:val="20"/>
          <w:szCs w:val="20"/>
          <w:color w:val="auto"/>
        </w:rPr>
        <w:t>The provisions of this subsection (c) shall apply and shall supersede anything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0" w:lineRule="exact"/>
        <w:rPr>
          <w:rFonts w:ascii="Times New Roman" w:cs="Times New Roman" w:eastAsia="Times New Roman" w:hAnsi="Times New Roman"/>
          <w:sz w:val="20"/>
          <w:szCs w:val="20"/>
          <w:b w:val="1"/>
          <w:bCs w:val="1"/>
          <w:color w:val="auto"/>
        </w:rPr>
      </w:pPr>
    </w:p>
    <w:p>
      <w:pPr>
        <w:ind w:left="200" w:right="219" w:firstLine="1953"/>
        <w:spacing w:after="0" w:line="273" w:lineRule="auto"/>
        <w:tabs>
          <w:tab w:leader="none" w:pos="2792" w:val="left"/>
        </w:tabs>
        <w:numPr>
          <w:ilvl w:val="1"/>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Vested Non-Exempt Awards</w:t>
      </w:r>
      <w:r>
        <w:rPr>
          <w:rFonts w:ascii="Times New Roman" w:cs="Times New Roman" w:eastAsia="Times New Roman" w:hAnsi="Times New Roman"/>
          <w:sz w:val="20"/>
          <w:szCs w:val="20"/>
          <w:color w:val="auto"/>
        </w:rPr>
        <w:t>. The following provisions shall apply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Non-Exempt Award in connection with a Corporate Transaction:</w:t>
      </w:r>
    </w:p>
    <w:p>
      <w:pPr>
        <w:spacing w:after="0" w:line="155" w:lineRule="exact"/>
        <w:rPr>
          <w:rFonts w:ascii="Times New Roman" w:cs="Times New Roman" w:eastAsia="Times New Roman" w:hAnsi="Times New Roman"/>
          <w:sz w:val="20"/>
          <w:szCs w:val="20"/>
          <w:b w:val="1"/>
          <w:bCs w:val="1"/>
          <w:color w:val="auto"/>
        </w:rPr>
      </w:pPr>
    </w:p>
    <w:p>
      <w:pPr>
        <w:jc w:val="both"/>
        <w:ind w:left="200" w:right="219" w:firstLine="2601"/>
        <w:spacing w:after="0" w:line="244" w:lineRule="auto"/>
        <w:tabs>
          <w:tab w:leader="none" w:pos="3440" w:val="left"/>
        </w:tabs>
        <w:numPr>
          <w:ilvl w:val="2"/>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2601"/>
        <w:spacing w:after="0" w:line="243" w:lineRule="auto"/>
        <w:tabs>
          <w:tab w:leader="none" w:pos="3440" w:val="left"/>
        </w:tabs>
        <w:numPr>
          <w:ilvl w:val="2"/>
          <w:numId w:val="3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3" w:name="page244"/>
    <w:bookmarkEnd w:id="243"/>
    <w:p>
      <w:pPr>
        <w:ind w:left="200" w:right="219" w:firstLine="1953"/>
        <w:spacing w:after="0" w:line="273" w:lineRule="auto"/>
        <w:tabs>
          <w:tab w:leader="none" w:pos="2792" w:val="left"/>
        </w:tabs>
        <w:numPr>
          <w:ilvl w:val="1"/>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Unvested Non-Exempt Awards. </w:t>
      </w:r>
      <w:r>
        <w:rPr>
          <w:rFonts w:ascii="Times New Roman" w:cs="Times New Roman" w:eastAsia="Times New Roman" w:hAnsi="Times New Roman"/>
          <w:sz w:val="20"/>
          <w:szCs w:val="20"/>
          <w:color w:val="auto"/>
        </w:rPr>
        <w:t>The following provisions shall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Unvested Non-Exempt Award unless otherwise determined by the Board pursuant to </w:t>
      </w:r>
      <w:r>
        <w:rPr>
          <w:rFonts w:ascii="Times New Roman" w:cs="Times New Roman" w:eastAsia="Times New Roman" w:hAnsi="Times New Roman"/>
          <w:sz w:val="20"/>
          <w:szCs w:val="20"/>
          <w:u w:val="single" w:color="auto"/>
          <w:color w:val="auto"/>
        </w:rPr>
        <w:t>Section 11(e)</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b w:val="1"/>
          <w:bCs w:val="1"/>
          <w:color w:val="auto"/>
        </w:rPr>
      </w:pPr>
    </w:p>
    <w:p>
      <w:pPr>
        <w:jc w:val="both"/>
        <w:ind w:left="200" w:right="219" w:firstLine="2601"/>
        <w:spacing w:after="0" w:line="242" w:lineRule="auto"/>
        <w:tabs>
          <w:tab w:leader="none" w:pos="3440" w:val="left"/>
        </w:tabs>
        <w:numPr>
          <w:ilvl w:val="2"/>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92" w:lineRule="exact"/>
        <w:rPr>
          <w:rFonts w:ascii="Times New Roman" w:cs="Times New Roman" w:eastAsia="Times New Roman" w:hAnsi="Times New Roman"/>
          <w:sz w:val="20"/>
          <w:szCs w:val="20"/>
          <w:b w:val="1"/>
          <w:bCs w:val="1"/>
          <w:color w:val="auto"/>
        </w:rPr>
      </w:pPr>
    </w:p>
    <w:p>
      <w:pPr>
        <w:jc w:val="both"/>
        <w:ind w:left="200" w:right="219" w:firstLine="2601"/>
        <w:spacing w:after="0" w:line="256" w:lineRule="auto"/>
        <w:tabs>
          <w:tab w:leader="none" w:pos="3440" w:val="left"/>
        </w:tabs>
        <w:numPr>
          <w:ilvl w:val="2"/>
          <w:numId w:val="3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7" w:lineRule="exact"/>
        <w:rPr>
          <w:rFonts w:ascii="Times New Roman" w:cs="Times New Roman" w:eastAsia="Times New Roman" w:hAnsi="Times New Roman"/>
          <w:sz w:val="19"/>
          <w:szCs w:val="19"/>
          <w:b w:val="1"/>
          <w:bCs w:val="1"/>
          <w:color w:val="auto"/>
        </w:rPr>
      </w:pPr>
    </w:p>
    <w:p>
      <w:pPr>
        <w:jc w:val="both"/>
        <w:ind w:left="200" w:right="219" w:firstLine="2601"/>
        <w:spacing w:after="0" w:line="254" w:lineRule="auto"/>
        <w:tabs>
          <w:tab w:leader="none" w:pos="3440" w:val="left"/>
        </w:tabs>
        <w:numPr>
          <w:ilvl w:val="2"/>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foregoing treatment shall apply with respect to all Unvested Non-Exempt Awards upon any Corporate Transaction, and regardless of whether or not such Corporate Transaction is also a Section 409A Change in Control.</w:t>
      </w:r>
    </w:p>
    <w:p>
      <w:pPr>
        <w:spacing w:after="0" w:line="170"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Treatment of Non-Exempt Awards Upon a Corporate Transaction for Non-Employee Directors. </w:t>
      </w:r>
      <w:r>
        <w:rPr>
          <w:rFonts w:ascii="Times New Roman" w:cs="Times New Roman" w:eastAsia="Times New Roman" w:hAnsi="Times New Roman"/>
          <w:sz w:val="20"/>
          <w:szCs w:val="20"/>
          <w:color w:val="auto"/>
        </w:rPr>
        <w:t>The following provisions of this subsection (d) shall apply and shall supersede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anything to the contrary that may be set forth in the Plan with respect to the permitted treatment of a Non-Exempt Director Award in connection with a Corporate Transaction.</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953"/>
        <w:spacing w:after="0" w:line="244" w:lineRule="auto"/>
        <w:tabs>
          <w:tab w:leader="none" w:pos="2792" w:val="left"/>
        </w:tabs>
        <w:numPr>
          <w:ilvl w:val="1"/>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86" w:lineRule="exact"/>
        <w:rPr>
          <w:sz w:val="20"/>
          <w:szCs w:val="20"/>
          <w:color w:val="auto"/>
        </w:rPr>
      </w:pPr>
    </w:p>
    <w:p>
      <w:pPr>
        <w:jc w:val="both"/>
        <w:ind w:left="200" w:right="219" w:firstLine="1953"/>
        <w:spacing w:after="0" w:line="244" w:lineRule="auto"/>
        <w:tabs>
          <w:tab w:leader="none" w:pos="2792" w:val="left"/>
        </w:tabs>
        <w:numPr>
          <w:ilvl w:val="0"/>
          <w:numId w:val="3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44" w:name="page245"/>
    <w:bookmarkEnd w:id="244"/>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0" w:lineRule="exact"/>
        <w:rPr>
          <w:sz w:val="20"/>
          <w:szCs w:val="20"/>
          <w:color w:val="auto"/>
        </w:rPr>
      </w:pPr>
    </w:p>
    <w:p>
      <w:pPr>
        <w:jc w:val="both"/>
        <w:ind w:left="200" w:right="219" w:firstLine="1305"/>
        <w:spacing w:after="0" w:line="254" w:lineRule="auto"/>
        <w:tabs>
          <w:tab w:leader="none" w:pos="2144" w:val="left"/>
        </w:tabs>
        <w:numPr>
          <w:ilvl w:val="1"/>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74" w:lineRule="exact"/>
        <w:rPr>
          <w:rFonts w:ascii="Times New Roman" w:cs="Times New Roman" w:eastAsia="Times New Roman" w:hAnsi="Times New Roman"/>
          <w:sz w:val="20"/>
          <w:szCs w:val="20"/>
          <w:b w:val="1"/>
          <w:bCs w:val="1"/>
          <w:color w:val="auto"/>
        </w:rPr>
      </w:pPr>
    </w:p>
    <w:p>
      <w:pPr>
        <w:jc w:val="both"/>
        <w:ind w:left="200" w:right="219" w:firstLine="1953"/>
        <w:spacing w:after="0" w:line="249" w:lineRule="auto"/>
        <w:tabs>
          <w:tab w:leader="none" w:pos="2792" w:val="left"/>
        </w:tabs>
        <w:numPr>
          <w:ilvl w:val="2"/>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953"/>
        <w:spacing w:after="0" w:line="254" w:lineRule="auto"/>
        <w:tabs>
          <w:tab w:leader="none" w:pos="2792" w:val="left"/>
        </w:tabs>
        <w:numPr>
          <w:ilvl w:val="2"/>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74" w:lineRule="exact"/>
        <w:rPr>
          <w:rFonts w:ascii="Times New Roman" w:cs="Times New Roman" w:eastAsia="Times New Roman" w:hAnsi="Times New Roman"/>
          <w:sz w:val="20"/>
          <w:szCs w:val="20"/>
          <w:b w:val="1"/>
          <w:bCs w:val="1"/>
          <w:color w:val="auto"/>
        </w:rPr>
      </w:pPr>
    </w:p>
    <w:p>
      <w:pPr>
        <w:jc w:val="both"/>
        <w:ind w:left="200" w:right="219" w:firstLine="1953"/>
        <w:spacing w:after="0" w:line="242" w:lineRule="auto"/>
        <w:tabs>
          <w:tab w:leader="none" w:pos="2792" w:val="left"/>
        </w:tabs>
        <w:numPr>
          <w:ilvl w:val="2"/>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87" w:lineRule="exact"/>
        <w:rPr>
          <w:rFonts w:ascii="Times New Roman" w:cs="Times New Roman" w:eastAsia="Times New Roman" w:hAnsi="Times New Roman"/>
          <w:sz w:val="20"/>
          <w:szCs w:val="20"/>
          <w:b w:val="1"/>
          <w:bCs w:val="1"/>
          <w:color w:val="auto"/>
        </w:rPr>
      </w:pPr>
    </w:p>
    <w:p>
      <w:pPr>
        <w:jc w:val="both"/>
        <w:ind w:left="200" w:right="219" w:firstLine="1953"/>
        <w:spacing w:after="0" w:line="246" w:lineRule="auto"/>
        <w:tabs>
          <w:tab w:leader="none" w:pos="2792" w:val="left"/>
        </w:tabs>
        <w:numPr>
          <w:ilvl w:val="2"/>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80"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3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0" w:lineRule="exact"/>
        <w:rPr>
          <w:sz w:val="20"/>
          <w:szCs w:val="20"/>
          <w:color w:val="auto"/>
        </w:rPr>
      </w:pPr>
    </w:p>
    <w:p>
      <w:pPr>
        <w:ind w:left="1500" w:hanging="643"/>
        <w:spacing w:after="0"/>
        <w:tabs>
          <w:tab w:leader="none" w:pos="150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THE PLAN.</w:t>
      </w:r>
    </w:p>
    <w:p>
      <w:pPr>
        <w:spacing w:after="0" w:line="220"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The Board may suspend or terminate the Plan at any time. No Incentive Stock Options may be granted after the tenth anniversary of the earlier of: (i) the Adoption Date, or (ii) the date the Plan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5" w:name="page246"/>
    <w:bookmarkEnd w:id="245"/>
    <w:p>
      <w:pPr>
        <w:ind w:left="200" w:right="219"/>
        <w:spacing w:after="0" w:line="269" w:lineRule="auto"/>
        <w:rPr>
          <w:sz w:val="20"/>
          <w:szCs w:val="20"/>
          <w:color w:val="auto"/>
        </w:rPr>
      </w:pPr>
      <w:r>
        <w:rPr>
          <w:rFonts w:ascii="Times New Roman" w:cs="Times New Roman" w:eastAsia="Times New Roman" w:hAnsi="Times New Roman"/>
          <w:sz w:val="20"/>
          <w:szCs w:val="20"/>
          <w:color w:val="auto"/>
        </w:rPr>
        <w:t>approved by the Company’s stockholders. No Awards may be granted under the Plan while the Plan is suspended or after it is terminated.</w:t>
      </w:r>
    </w:p>
    <w:p>
      <w:pPr>
        <w:spacing w:after="0" w:line="155" w:lineRule="exact"/>
        <w:rPr>
          <w:sz w:val="20"/>
          <w:szCs w:val="20"/>
          <w:color w:val="auto"/>
        </w:rPr>
      </w:pPr>
    </w:p>
    <w:p>
      <w:pPr>
        <w:ind w:left="1500" w:hanging="643"/>
        <w:spacing w:after="0"/>
        <w:tabs>
          <w:tab w:leader="none" w:pos="1500" w:val="left"/>
        </w:tabs>
        <w:numPr>
          <w:ilvl w:val="0"/>
          <w:numId w:val="3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As used in the Plan, the following definitions apply to the capitalized terms indicated below:</w:t>
      </w:r>
    </w:p>
    <w:p>
      <w:pPr>
        <w:spacing w:after="0" w:line="212" w:lineRule="exact"/>
        <w:rPr>
          <w:sz w:val="20"/>
          <w:szCs w:val="20"/>
          <w:color w:val="auto"/>
        </w:rPr>
      </w:pPr>
    </w:p>
    <w:p>
      <w:pPr>
        <w:ind w:left="200" w:right="239" w:firstLine="1305"/>
        <w:spacing w:after="0" w:line="273"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“Acquiring Entity” </w:t>
      </w:r>
      <w:r>
        <w:rPr>
          <w:rFonts w:ascii="Times New Roman" w:cs="Times New Roman" w:eastAsia="Times New Roman" w:hAnsi="Times New Roman"/>
          <w:sz w:val="20"/>
          <w:szCs w:val="20"/>
          <w:color w:val="auto"/>
        </w:rPr>
        <w:t>means the surviving or acquiring corporation (or its parent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in connection with a Corporate Transaction.</w:t>
      </w:r>
    </w:p>
    <w:p>
      <w:pPr>
        <w:spacing w:after="0" w:line="151"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“Adoption Date” </w:t>
      </w:r>
      <w:r>
        <w:rPr>
          <w:rFonts w:ascii="Times New Roman" w:cs="Times New Roman" w:eastAsia="Times New Roman" w:hAnsi="Times New Roman"/>
          <w:sz w:val="20"/>
          <w:szCs w:val="20"/>
          <w:color w:val="auto"/>
        </w:rPr>
        <w:t>means the date the Plan is first approved by the Board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Committee.</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“Affiliate” </w:t>
      </w:r>
      <w:r>
        <w:rPr>
          <w:rFonts w:ascii="Times New Roman" w:cs="Times New Roman" w:eastAsia="Times New Roman" w:hAnsi="Times New Roman"/>
          <w:sz w:val="20"/>
          <w:szCs w:val="20"/>
          <w:color w:val="auto"/>
        </w:rPr>
        <w:t>means, at the time of determination, any “parent” or “subsidiary”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as such terms are defined in Rule 405 promulgated under the Securities Act. The Board may determine the time or times at which “parent” or “subsidiary” status is determined within the foregoing definition.</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305"/>
        <w:spacing w:after="0" w:line="246"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“Applicable Law” </w:t>
      </w:r>
      <w:r>
        <w:rPr>
          <w:rFonts w:ascii="Times New Roman" w:cs="Times New Roman" w:eastAsia="Times New Roman" w:hAnsi="Times New Roman"/>
          <w:sz w:val="20"/>
          <w:szCs w:val="20"/>
          <w:color w:val="auto"/>
        </w:rPr>
        <w:t>means any applicable securities, federal, state, foreign, material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8"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“Award” </w:t>
      </w:r>
      <w:r>
        <w:rPr>
          <w:rFonts w:ascii="Times New Roman" w:cs="Times New Roman" w:eastAsia="Times New Roman" w:hAnsi="Times New Roman"/>
          <w:sz w:val="20"/>
          <w:szCs w:val="20"/>
          <w:color w:val="auto"/>
        </w:rPr>
        <w:t>means any right to receive the Common Stock, cash or other property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granted under the Plan (including an Incentive Stock Option, a Nonstatutory Stock Option, a Restricted Stock Award, an RSU Award, a SAR, a Performance Award or any Other Award).</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“Award Agreement” </w:t>
      </w:r>
      <w:r>
        <w:rPr>
          <w:rFonts w:ascii="Times New Roman" w:cs="Times New Roman" w:eastAsia="Times New Roman" w:hAnsi="Times New Roman"/>
          <w:sz w:val="20"/>
          <w:szCs w:val="20"/>
          <w:color w:val="auto"/>
        </w:rPr>
        <w:t>means a written or electronic agreement between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“Board” </w:t>
      </w:r>
      <w:r>
        <w:rPr>
          <w:rFonts w:ascii="Times New Roman" w:cs="Times New Roman" w:eastAsia="Times New Roman" w:hAnsi="Times New Roman"/>
          <w:sz w:val="20"/>
          <w:szCs w:val="20"/>
          <w:color w:val="auto"/>
        </w:rPr>
        <w:t>means the Board of Directors of the Company (or its designee).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decision or determination made by the Board shall be a decision or determination that is made in the sole discretion of the Board (or its designee), and such decision or determination shall be final and binding on all Participants.</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0"/>
          <w:numId w:val="3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“Capitalization Adjustment” </w:t>
      </w:r>
      <w:r>
        <w:rPr>
          <w:rFonts w:ascii="Times New Roman" w:cs="Times New Roman" w:eastAsia="Times New Roman" w:hAnsi="Times New Roman"/>
          <w:sz w:val="20"/>
          <w:szCs w:val="20"/>
          <w:color w:val="auto"/>
        </w:rPr>
        <w:t>means any change that is made in, or other events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6" w:name="page247"/>
    <w:bookmarkEnd w:id="246"/>
    <w:p>
      <w:pPr>
        <w:jc w:val="both"/>
        <w:ind w:left="200" w:right="219" w:firstLine="1305"/>
        <w:spacing w:after="0" w:line="241" w:lineRule="auto"/>
        <w:tabs>
          <w:tab w:leader="none" w:pos="2144"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“Cause” </w:t>
      </w:r>
      <w:r>
        <w:rPr>
          <w:rFonts w:ascii="Times New Roman" w:cs="Times New Roman" w:eastAsia="Times New Roman" w:hAnsi="Times New Roman"/>
          <w:sz w:val="20"/>
          <w:szCs w:val="20"/>
          <w:color w:val="auto"/>
        </w:rPr>
        <w:t>has the meaning ascribed to such term in any written agreement between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8"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“Change in Control”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“Change of Control” </w:t>
      </w:r>
      <w:r>
        <w:rPr>
          <w:rFonts w:ascii="Times New Roman" w:cs="Times New Roman" w:eastAsia="Times New Roman" w:hAnsi="Times New Roman"/>
          <w:sz w:val="20"/>
          <w:szCs w:val="20"/>
          <w:color w:val="auto"/>
        </w:rPr>
        <w:t>means the occurrence, in a single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953"/>
        <w:spacing w:after="0" w:line="241" w:lineRule="auto"/>
        <w:tabs>
          <w:tab w:leader="none" w:pos="2792" w:val="left"/>
        </w:tabs>
        <w:numPr>
          <w:ilvl w:val="1"/>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0"/>
          <w:szCs w:val="20"/>
          <w:b w:val="1"/>
          <w:bCs w:val="1"/>
          <w:i w:val="1"/>
          <w:iCs w:val="1"/>
          <w:color w:val="auto"/>
        </w:rPr>
        <w:t>“Subject Person”</w:t>
      </w:r>
      <w:r>
        <w:rPr>
          <w:rFonts w:ascii="Times New Roman" w:cs="Times New Roman" w:eastAsia="Times New Roman" w:hAnsi="Times New Roman"/>
          <w:sz w:val="20"/>
          <w:szCs w:val="20"/>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3" w:lineRule="exact"/>
        <w:rPr>
          <w:rFonts w:ascii="Times New Roman" w:cs="Times New Roman" w:eastAsia="Times New Roman" w:hAnsi="Times New Roman"/>
          <w:sz w:val="20"/>
          <w:szCs w:val="20"/>
          <w:b w:val="1"/>
          <w:bCs w:val="1"/>
          <w:color w:val="auto"/>
        </w:rPr>
      </w:pPr>
    </w:p>
    <w:p>
      <w:pPr>
        <w:jc w:val="both"/>
        <w:ind w:left="200" w:right="219" w:firstLine="1953"/>
        <w:spacing w:after="0" w:line="243" w:lineRule="auto"/>
        <w:tabs>
          <w:tab w:leader="none" w:pos="2792" w:val="left"/>
        </w:tabs>
        <w:numPr>
          <w:ilvl w:val="1"/>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47" w:name="page248"/>
    <w:bookmarkEnd w:id="247"/>
    <w:p>
      <w:pPr>
        <w:jc w:val="both"/>
        <w:ind w:left="200" w:right="219" w:firstLine="1953"/>
        <w:spacing w:after="0" w:line="244" w:lineRule="auto"/>
        <w:tabs>
          <w:tab w:leader="none" w:pos="2792" w:val="left"/>
        </w:tabs>
        <w:numPr>
          <w:ilvl w:val="0"/>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953"/>
        <w:spacing w:after="0" w:line="245" w:lineRule="auto"/>
        <w:tabs>
          <w:tab w:leader="none" w:pos="2792" w:val="left"/>
        </w:tabs>
        <w:numPr>
          <w:ilvl w:val="0"/>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individuals who, on the date the Plan is adopted by the Board, are members of the Board (the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4"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82" w:lineRule="exact"/>
        <w:rPr>
          <w:sz w:val="20"/>
          <w:szCs w:val="20"/>
          <w:color w:val="auto"/>
        </w:rPr>
      </w:pPr>
    </w:p>
    <w:p>
      <w:pPr>
        <w:ind w:left="200" w:right="239" w:firstLine="1305"/>
        <w:spacing w:after="0" w:line="273" w:lineRule="auto"/>
        <w:tabs>
          <w:tab w:leader="none" w:pos="2144" w:val="left"/>
        </w:tabs>
        <w:numPr>
          <w:ilvl w:val="1"/>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“Code” </w:t>
      </w:r>
      <w:r>
        <w:rPr>
          <w:rFonts w:ascii="Times New Roman" w:cs="Times New Roman" w:eastAsia="Times New Roman" w:hAnsi="Times New Roman"/>
          <w:sz w:val="20"/>
          <w:szCs w:val="20"/>
          <w:color w:val="auto"/>
        </w:rPr>
        <w:t>means the Internal Revenue Code of 1986, as amended, including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regulations and guidance thereunder.</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1"/>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“Committee” </w:t>
      </w:r>
      <w:r>
        <w:rPr>
          <w:rFonts w:ascii="Times New Roman" w:cs="Times New Roman" w:eastAsia="Times New Roman" w:hAnsi="Times New Roman"/>
          <w:sz w:val="20"/>
          <w:szCs w:val="20"/>
          <w:color w:val="auto"/>
        </w:rPr>
        <w:t>means the Compensation Committee and any other committee of one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more Directors to whom authority has been delegated by the Board or Compensation Committee in accordance with the Plan.</w:t>
      </w:r>
    </w:p>
    <w:p>
      <w:pPr>
        <w:spacing w:after="0" w:line="168"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1"/>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“Common Stock” </w:t>
      </w:r>
      <w:r>
        <w:rPr>
          <w:rFonts w:ascii="Times New Roman" w:cs="Times New Roman" w:eastAsia="Times New Roman" w:hAnsi="Times New Roman"/>
          <w:sz w:val="20"/>
          <w:szCs w:val="20"/>
          <w:color w:val="auto"/>
        </w:rPr>
        <w:t>means the Class A Common Stock of the Company.</w:t>
      </w:r>
    </w:p>
    <w:p>
      <w:pPr>
        <w:spacing w:after="0" w:line="215"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1"/>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“Company” </w:t>
      </w:r>
      <w:r>
        <w:rPr>
          <w:rFonts w:ascii="Times New Roman" w:cs="Times New Roman" w:eastAsia="Times New Roman" w:hAnsi="Times New Roman"/>
          <w:sz w:val="20"/>
          <w:szCs w:val="20"/>
          <w:color w:val="auto"/>
        </w:rPr>
        <w:t>means MetaVia Inc., a Delaware corporation.</w:t>
      </w:r>
    </w:p>
    <w:p>
      <w:pPr>
        <w:spacing w:after="0" w:line="215"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1"/>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“Compensation Committee” </w:t>
      </w:r>
      <w:r>
        <w:rPr>
          <w:rFonts w:ascii="Times New Roman" w:cs="Times New Roman" w:eastAsia="Times New Roman" w:hAnsi="Times New Roman"/>
          <w:sz w:val="20"/>
          <w:szCs w:val="20"/>
          <w:color w:val="auto"/>
        </w:rPr>
        <w:t>means the Compensation Committee of the Board.</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53" w:lineRule="auto"/>
        <w:tabs>
          <w:tab w:leader="none" w:pos="2144" w:val="left"/>
        </w:tabs>
        <w:numPr>
          <w:ilvl w:val="1"/>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“Consultant” </w:t>
      </w:r>
      <w:r>
        <w:rPr>
          <w:rFonts w:ascii="Times New Roman" w:cs="Times New Roman" w:eastAsia="Times New Roman" w:hAnsi="Times New Roman"/>
          <w:sz w:val="20"/>
          <w:szCs w:val="20"/>
          <w:color w:val="auto"/>
        </w:rPr>
        <w:t>means any person, including an advisor, who is (i) engaged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or an Affiliate to render consulting or advisory services and is compensated for such services, or</w:t>
      </w:r>
    </w:p>
    <w:p>
      <w:pPr>
        <w:jc w:val="both"/>
        <w:ind w:left="200" w:right="219" w:firstLine="9"/>
        <w:spacing w:after="0" w:line="241" w:lineRule="auto"/>
        <w:tabs>
          <w:tab w:leader="none" w:pos="519"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2" w:lineRule="exact"/>
        <w:rPr>
          <w:rFonts w:ascii="Times New Roman" w:cs="Times New Roman" w:eastAsia="Times New Roman" w:hAnsi="Times New Roman"/>
          <w:sz w:val="20"/>
          <w:szCs w:val="20"/>
          <w:color w:val="auto"/>
        </w:rPr>
      </w:pPr>
    </w:p>
    <w:p>
      <w:pPr>
        <w:jc w:val="both"/>
        <w:ind w:left="200" w:right="219" w:firstLine="1305"/>
        <w:spacing w:after="0" w:line="245" w:lineRule="auto"/>
        <w:tabs>
          <w:tab w:leader="none" w:pos="2144" w:val="left"/>
        </w:tabs>
        <w:numPr>
          <w:ilvl w:val="1"/>
          <w:numId w:val="3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“Continuous Service” </w:t>
      </w:r>
      <w:r>
        <w:rPr>
          <w:rFonts w:ascii="Times New Roman" w:cs="Times New Roman" w:eastAsia="Times New Roman" w:hAnsi="Times New Roman"/>
          <w:sz w:val="20"/>
          <w:szCs w:val="20"/>
          <w:color w:val="auto"/>
        </w:rPr>
        <w:t>means that the Participant’s service with the Company or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if the Entity for which a Participant is rendering services ceases to qualify as an Affiliate, as determined by the Board,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8" w:name="page249"/>
    <w:bookmarkEnd w:id="248"/>
    <w:p>
      <w:pPr>
        <w:jc w:val="both"/>
        <w:ind w:left="200" w:right="219"/>
        <w:spacing w:after="0" w:line="241" w:lineRule="auto"/>
        <w:rPr>
          <w:sz w:val="20"/>
          <w:szCs w:val="20"/>
          <w:color w:val="auto"/>
        </w:rPr>
      </w:pPr>
      <w:r>
        <w:rPr>
          <w:rFonts w:ascii="Times New Roman" w:cs="Times New Roman" w:eastAsia="Times New Roman" w:hAnsi="Times New Roman"/>
          <w:sz w:val="20"/>
          <w:szCs w:val="20"/>
          <w:color w:val="auto"/>
        </w:rPr>
        <w:t>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92" w:lineRule="exact"/>
        <w:rPr>
          <w:sz w:val="20"/>
          <w:szCs w:val="20"/>
          <w:color w:val="auto"/>
        </w:rPr>
      </w:pPr>
    </w:p>
    <w:p>
      <w:pPr>
        <w:ind w:left="200" w:right="239" w:firstLine="1305"/>
        <w:spacing w:after="0" w:line="273" w:lineRule="auto"/>
        <w:tabs>
          <w:tab w:leader="none" w:pos="2144" w:val="left"/>
        </w:tabs>
        <w:numPr>
          <w:ilvl w:val="0"/>
          <w:numId w:val="3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“Corporate Transaction” </w:t>
      </w:r>
      <w:r>
        <w:rPr>
          <w:rFonts w:ascii="Times New Roman" w:cs="Times New Roman" w:eastAsia="Times New Roman" w:hAnsi="Times New Roman"/>
          <w:sz w:val="20"/>
          <w:szCs w:val="20"/>
          <w:color w:val="auto"/>
        </w:rPr>
        <w:t>means the consummation, in a single transaction or in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series of related transactions, of any one or more of the following events:</w:t>
      </w:r>
    </w:p>
    <w:p>
      <w:pPr>
        <w:spacing w:after="0" w:line="155" w:lineRule="exact"/>
        <w:rPr>
          <w:rFonts w:ascii="Times New Roman" w:cs="Times New Roman" w:eastAsia="Times New Roman" w:hAnsi="Times New Roman"/>
          <w:sz w:val="20"/>
          <w:szCs w:val="20"/>
          <w:b w:val="1"/>
          <w:bCs w:val="1"/>
          <w:color w:val="auto"/>
        </w:rPr>
      </w:pPr>
    </w:p>
    <w:p>
      <w:pPr>
        <w:ind w:left="200" w:right="219" w:firstLine="1953"/>
        <w:spacing w:after="0" w:line="269" w:lineRule="auto"/>
        <w:tabs>
          <w:tab w:leader="none" w:pos="2792" w:val="left"/>
        </w:tabs>
        <w:numPr>
          <w:ilvl w:val="1"/>
          <w:numId w:val="3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all or substantially all, as determined by the Board, of the consolidated assets of the Company and its Subsidiaries;</w:t>
      </w:r>
    </w:p>
    <w:p>
      <w:pPr>
        <w:spacing w:after="0" w:line="159"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1"/>
          <w:numId w:val="3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at least 50% of the outstanding securities of</w:t>
      </w:r>
    </w:p>
    <w:p>
      <w:pPr>
        <w:spacing w:after="0" w:line="21" w:lineRule="exact"/>
        <w:rPr>
          <w:rFonts w:ascii="Times New Roman" w:cs="Times New Roman" w:eastAsia="Times New Roman" w:hAnsi="Times New Roman"/>
          <w:sz w:val="20"/>
          <w:szCs w:val="20"/>
          <w:b w:val="1"/>
          <w:bCs w:val="1"/>
          <w:color w:val="auto"/>
        </w:rPr>
      </w:pPr>
    </w:p>
    <w:p>
      <w:pPr>
        <w:ind w:left="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w:t>
      </w:r>
    </w:p>
    <w:p>
      <w:pPr>
        <w:spacing w:after="0" w:line="193" w:lineRule="exact"/>
        <w:rPr>
          <w:rFonts w:ascii="Times New Roman" w:cs="Times New Roman" w:eastAsia="Times New Roman" w:hAnsi="Times New Roman"/>
          <w:sz w:val="20"/>
          <w:szCs w:val="20"/>
          <w:b w:val="1"/>
          <w:bCs w:val="1"/>
          <w:color w:val="auto"/>
        </w:rPr>
      </w:pPr>
    </w:p>
    <w:p>
      <w:pPr>
        <w:ind w:left="200" w:right="219" w:firstLine="1953"/>
        <w:spacing w:after="0" w:line="269" w:lineRule="auto"/>
        <w:tabs>
          <w:tab w:leader="none" w:pos="2792" w:val="left"/>
        </w:tabs>
        <w:numPr>
          <w:ilvl w:val="1"/>
          <w:numId w:val="3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159" w:lineRule="exact"/>
        <w:rPr>
          <w:rFonts w:ascii="Times New Roman" w:cs="Times New Roman" w:eastAsia="Times New Roman" w:hAnsi="Times New Roman"/>
          <w:sz w:val="20"/>
          <w:szCs w:val="20"/>
          <w:b w:val="1"/>
          <w:bCs w:val="1"/>
          <w:color w:val="auto"/>
        </w:rPr>
      </w:pPr>
    </w:p>
    <w:p>
      <w:pPr>
        <w:jc w:val="both"/>
        <w:ind w:left="200" w:right="219" w:firstLine="1953"/>
        <w:spacing w:after="0" w:line="246" w:lineRule="auto"/>
        <w:tabs>
          <w:tab w:leader="none" w:pos="2792" w:val="left"/>
        </w:tabs>
        <w:numPr>
          <w:ilvl w:val="1"/>
          <w:numId w:val="3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the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5"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8" w:lineRule="exact"/>
        <w:rPr>
          <w:sz w:val="20"/>
          <w:szCs w:val="20"/>
          <w:color w:val="auto"/>
        </w:rPr>
      </w:pPr>
    </w:p>
    <w:p>
      <w:pPr>
        <w:ind w:left="2160" w:hanging="655"/>
        <w:spacing w:after="0"/>
        <w:tabs>
          <w:tab w:leader="none" w:pos="2160" w:val="left"/>
        </w:tabs>
        <w:numPr>
          <w:ilvl w:val="0"/>
          <w:numId w:val="3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“Director” </w:t>
      </w:r>
      <w:r>
        <w:rPr>
          <w:rFonts w:ascii="Times New Roman" w:cs="Times New Roman" w:eastAsia="Times New Roman" w:hAnsi="Times New Roman"/>
          <w:sz w:val="20"/>
          <w:szCs w:val="20"/>
          <w:color w:val="auto"/>
        </w:rPr>
        <w:t>means a member of the Board.</w:t>
      </w:r>
    </w:p>
    <w:p>
      <w:pPr>
        <w:spacing w:after="0" w:line="215"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“determine”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“determined” </w:t>
      </w:r>
      <w:r>
        <w:rPr>
          <w:rFonts w:ascii="Times New Roman" w:cs="Times New Roman" w:eastAsia="Times New Roman" w:hAnsi="Times New Roman"/>
          <w:sz w:val="20"/>
          <w:szCs w:val="20"/>
          <w:color w:val="auto"/>
        </w:rPr>
        <w:t>means as determined by the Board or the Committee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its designee)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601980</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49" w:name="page250"/>
    <w:bookmarkEnd w:id="249"/>
    <w:p>
      <w:pPr>
        <w:jc w:val="both"/>
        <w:ind w:left="200" w:right="219" w:firstLine="1305"/>
        <w:spacing w:after="0" w:line="246" w:lineRule="auto"/>
        <w:tabs>
          <w:tab w:leader="none" w:pos="2144"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“Disability” </w:t>
      </w:r>
      <w:r>
        <w:rPr>
          <w:rFonts w:ascii="Times New Roman" w:cs="Times New Roman" w:eastAsia="Times New Roman" w:hAnsi="Times New Roman"/>
          <w:sz w:val="20"/>
          <w:szCs w:val="20"/>
          <w:color w:val="auto"/>
        </w:rPr>
        <w:t>means, with respect to a Participant, such Participant is unable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8"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“Effective Date” </w:t>
      </w:r>
      <w:r>
        <w:rPr>
          <w:rFonts w:ascii="Times New Roman" w:cs="Times New Roman" w:eastAsia="Times New Roman" w:hAnsi="Times New Roman"/>
          <w:sz w:val="20"/>
          <w:szCs w:val="20"/>
          <w:color w:val="auto"/>
        </w:rPr>
        <w:t>means the effective date of this Plan, which is the date this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amended from time to time) is approved by the Company’s stockholders.</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color w:val="auto"/>
        </w:rPr>
        <w:t>means any person employed by the Company or an Affiliate.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However, service solely as a Director, or payment of a fee for such services, will not cause a Director to be considered an “Employee” for purposes of the Plan.</w:t>
      </w:r>
    </w:p>
    <w:p>
      <w:pPr>
        <w:spacing w:after="0" w:line="168"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“Employer” </w:t>
      </w:r>
      <w:r>
        <w:rPr>
          <w:rFonts w:ascii="Times New Roman" w:cs="Times New Roman" w:eastAsia="Times New Roman" w:hAnsi="Times New Roman"/>
          <w:sz w:val="20"/>
          <w:szCs w:val="20"/>
          <w:color w:val="auto"/>
        </w:rPr>
        <w:t>means the Company or the Affiliate of the Company that employs the</w:t>
      </w:r>
    </w:p>
    <w:p>
      <w:pPr>
        <w:spacing w:after="0" w:line="25" w:lineRule="exact"/>
        <w:rPr>
          <w:rFonts w:ascii="Times New Roman" w:cs="Times New Roman" w:eastAsia="Times New Roman" w:hAnsi="Times New Roman"/>
          <w:sz w:val="20"/>
          <w:szCs w:val="20"/>
          <w:b w:val="1"/>
          <w:bCs w:val="1"/>
          <w:color w:val="auto"/>
        </w:rPr>
      </w:pPr>
    </w:p>
    <w:p>
      <w:pPr>
        <w:ind w:left="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w:t>
      </w:r>
    </w:p>
    <w:p>
      <w:pPr>
        <w:spacing w:after="0" w:line="189"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3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 xml:space="preserve">“Entity” </w:t>
      </w:r>
      <w:r>
        <w:rPr>
          <w:rFonts w:ascii="Times New Roman" w:cs="Times New Roman" w:eastAsia="Times New Roman" w:hAnsi="Times New Roman"/>
          <w:sz w:val="19"/>
          <w:szCs w:val="19"/>
          <w:color w:val="auto"/>
        </w:rPr>
        <w:t>means a corporation, partnership, limited liability company or other entity.</w:t>
      </w:r>
    </w:p>
    <w:p>
      <w:pPr>
        <w:spacing w:after="0" w:line="227" w:lineRule="exact"/>
        <w:rPr>
          <w:rFonts w:ascii="Times New Roman" w:cs="Times New Roman" w:eastAsia="Times New Roman" w:hAnsi="Times New Roman"/>
          <w:sz w:val="19"/>
          <w:szCs w:val="19"/>
          <w:b w:val="1"/>
          <w:bCs w:val="1"/>
          <w:color w:val="auto"/>
        </w:rPr>
      </w:pPr>
    </w:p>
    <w:p>
      <w:pPr>
        <w:ind w:left="200" w:right="219" w:firstLine="1305"/>
        <w:spacing w:after="0" w:line="273" w:lineRule="auto"/>
        <w:tabs>
          <w:tab w:leader="none" w:pos="2144" w:val="left"/>
        </w:tabs>
        <w:numPr>
          <w:ilvl w:val="0"/>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“Exchange Act” </w:t>
      </w:r>
      <w:r>
        <w:rPr>
          <w:rFonts w:ascii="Times New Roman" w:cs="Times New Roman" w:eastAsia="Times New Roman" w:hAnsi="Times New Roman"/>
          <w:sz w:val="20"/>
          <w:szCs w:val="20"/>
          <w:color w:val="auto"/>
        </w:rPr>
        <w:t>means the Securities Exchange Act of 1934, as amended, 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rules and regulations promulgated thereunder.</w:t>
      </w:r>
    </w:p>
    <w:p>
      <w:pPr>
        <w:spacing w:after="0" w:line="152" w:lineRule="exact"/>
        <w:rPr>
          <w:sz w:val="20"/>
          <w:szCs w:val="20"/>
          <w:color w:val="auto"/>
        </w:rPr>
      </w:pPr>
    </w:p>
    <w:p>
      <w:pPr>
        <w:jc w:val="both"/>
        <w:ind w:left="200" w:right="219" w:firstLine="1305"/>
        <w:spacing w:after="0" w:line="242" w:lineRule="auto"/>
        <w:tabs>
          <w:tab w:leader="none" w:pos="2144" w:val="left"/>
        </w:tabs>
        <w:numPr>
          <w:ilvl w:val="0"/>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“Exchange Act Person” </w:t>
      </w:r>
      <w:r>
        <w:rPr>
          <w:rFonts w:ascii="Times New Roman" w:cs="Times New Roman" w:eastAsia="Times New Roman" w:hAnsi="Times New Roman"/>
          <w:sz w:val="20"/>
          <w:szCs w:val="20"/>
          <w:color w:val="auto"/>
        </w:rPr>
        <w:t>means any natural person, Entity or “group” (within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9"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“Fair Market Value” </w:t>
      </w:r>
      <w:r>
        <w:rPr>
          <w:rFonts w:ascii="Times New Roman" w:cs="Times New Roman" w:eastAsia="Times New Roman" w:hAnsi="Times New Roman"/>
          <w:sz w:val="20"/>
          <w:szCs w:val="20"/>
          <w:color w:val="auto"/>
        </w:rPr>
        <w:t>means, as of any date, unless otherwise determined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the value of the Common Stock (as determined on a per share or aggregate basis, as applicable) determined as follows:</w:t>
      </w:r>
    </w:p>
    <w:p>
      <w:pPr>
        <w:spacing w:after="0" w:line="172" w:lineRule="exact"/>
        <w:rPr>
          <w:rFonts w:ascii="Times New Roman" w:cs="Times New Roman" w:eastAsia="Times New Roman" w:hAnsi="Times New Roman"/>
          <w:sz w:val="20"/>
          <w:szCs w:val="20"/>
          <w:b w:val="1"/>
          <w:bCs w:val="1"/>
          <w:color w:val="auto"/>
        </w:rPr>
      </w:pPr>
    </w:p>
    <w:p>
      <w:pPr>
        <w:jc w:val="both"/>
        <w:ind w:left="200" w:right="219" w:firstLine="1953"/>
        <w:spacing w:after="0" w:line="249" w:lineRule="auto"/>
        <w:tabs>
          <w:tab w:leader="none" w:pos="2792" w:val="left"/>
        </w:tabs>
        <w:numPr>
          <w:ilvl w:val="1"/>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953"/>
        <w:spacing w:after="0" w:line="254" w:lineRule="auto"/>
        <w:tabs>
          <w:tab w:leader="none" w:pos="2792" w:val="left"/>
        </w:tabs>
        <w:numPr>
          <w:ilvl w:val="1"/>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no closing sales price for the Common Stock on the date of determination, then the Fair Market Value will be the closing selling price on the last preceding date for which such quotation exists.</w:t>
      </w:r>
    </w:p>
    <w:p>
      <w:pPr>
        <w:spacing w:after="0" w:line="174" w:lineRule="exact"/>
        <w:rPr>
          <w:rFonts w:ascii="Times New Roman" w:cs="Times New Roman" w:eastAsia="Times New Roman" w:hAnsi="Times New Roman"/>
          <w:sz w:val="20"/>
          <w:szCs w:val="20"/>
          <w:b w:val="1"/>
          <w:bCs w:val="1"/>
          <w:color w:val="auto"/>
        </w:rPr>
      </w:pPr>
    </w:p>
    <w:p>
      <w:pPr>
        <w:jc w:val="both"/>
        <w:ind w:left="200" w:right="219" w:firstLine="1953"/>
        <w:spacing w:after="0" w:line="254" w:lineRule="auto"/>
        <w:tabs>
          <w:tab w:leader="none" w:pos="2792" w:val="left"/>
        </w:tabs>
        <w:numPr>
          <w:ilvl w:val="1"/>
          <w:numId w:val="3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614045</wp:posOffset>
            </wp:positionV>
            <wp:extent cx="545211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50" w:name="page251"/>
    <w:bookmarkEnd w:id="250"/>
    <w:p>
      <w:pPr>
        <w:jc w:val="both"/>
        <w:ind w:left="200" w:right="219" w:firstLine="1305"/>
        <w:spacing w:after="0" w:line="243" w:lineRule="auto"/>
        <w:tabs>
          <w:tab w:leader="none" w:pos="2144"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“Fully Diluted Shares” </w:t>
      </w:r>
      <w:r>
        <w:rPr>
          <w:rFonts w:ascii="Times New Roman" w:cs="Times New Roman" w:eastAsia="Times New Roman" w:hAnsi="Times New Roman"/>
          <w:sz w:val="20"/>
          <w:szCs w:val="20"/>
          <w:color w:val="auto"/>
        </w:rPr>
        <w:t>as of a date means an amount equal to the number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shares of Common Stock (i) outstanding and (ii) issuable upon exercise, conversion or settlement of outstanding Awards under the Plan and any other outstanding options, warrants or other securities of the Company that are (directly or indirectly) convertible or exchangeable into or exercisable for shares of Common Stock, in each case as of the close of business of the Company on such date and without regard to any vesting conditions or other limitations on the immediate ability to convert, exchange or exercise such rights. For purposes of calculating the number of Fully Diluted Shares, if the number of shares subject to an outstanding right to acquire shares is variable, then the number of shares of Common Stock issuable upon exercise, conversion, exchange or settlement of the right shall be the maximum number of shares that could be received under such right.</w:t>
      </w:r>
    </w:p>
    <w:p>
      <w:pPr>
        <w:spacing w:after="0" w:line="182" w:lineRule="exact"/>
        <w:rPr>
          <w:rFonts w:ascii="Times New Roman" w:cs="Times New Roman" w:eastAsia="Times New Roman" w:hAnsi="Times New Roman"/>
          <w:sz w:val="20"/>
          <w:szCs w:val="20"/>
          <w:b w:val="1"/>
          <w:bCs w:val="1"/>
          <w:color w:val="auto"/>
        </w:rPr>
      </w:pPr>
    </w:p>
    <w:p>
      <w:pPr>
        <w:jc w:val="both"/>
        <w:ind w:left="200" w:right="219" w:firstLine="1305"/>
        <w:spacing w:after="0" w:line="244" w:lineRule="auto"/>
        <w:tabs>
          <w:tab w:leader="none" w:pos="2144"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“Governmental Body” </w:t>
      </w:r>
      <w:r>
        <w:rPr>
          <w:rFonts w:ascii="Times New Roman" w:cs="Times New Roman" w:eastAsia="Times New Roman" w:hAnsi="Times New Roman"/>
          <w:sz w:val="20"/>
          <w:szCs w:val="20"/>
          <w:color w:val="auto"/>
        </w:rPr>
        <w:t>means any: (i) nation, state, commonwealth, province,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1"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“Grant Notice” </w:t>
      </w:r>
      <w:r>
        <w:rPr>
          <w:rFonts w:ascii="Times New Roman" w:cs="Times New Roman" w:eastAsia="Times New Roman" w:hAnsi="Times New Roman"/>
          <w:sz w:val="20"/>
          <w:szCs w:val="20"/>
          <w:color w:val="auto"/>
        </w:rPr>
        <w:t>means the notice provided to a Participant that he or she has been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granted an Award under the Plan and which includes the name of the Participant, the type of Award, the date of grant of the Award, number of shares of the Common Stock subject to the Award or potential cash payment right, (if any), the vesting schedule for the Award (if any) and other key terms applicable to the Award.</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“Incentive Stock Option” </w:t>
      </w:r>
      <w:r>
        <w:rPr>
          <w:rFonts w:ascii="Times New Roman" w:cs="Times New Roman" w:eastAsia="Times New Roman" w:hAnsi="Times New Roman"/>
          <w:sz w:val="20"/>
          <w:szCs w:val="20"/>
          <w:color w:val="auto"/>
        </w:rPr>
        <w:t>means an option granted pursuant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that is intended to be, and qualifies as, an “incentive stock option” within the meaning of Section 422 of the Code.</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2" w:lineRule="auto"/>
        <w:tabs>
          <w:tab w:leader="none" w:pos="2144"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“Materially Impair” </w:t>
      </w:r>
      <w:r>
        <w:rPr>
          <w:rFonts w:ascii="Times New Roman" w:cs="Times New Roman" w:eastAsia="Times New Roman" w:hAnsi="Times New Roman"/>
          <w:sz w:val="20"/>
          <w:szCs w:val="20"/>
          <w:color w:val="auto"/>
        </w:rPr>
        <w:t>means any amendment to the terms of the Award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7"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0"/>
          <w:numId w:val="3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“Non-Employee Director” </w:t>
      </w:r>
      <w:r>
        <w:rPr>
          <w:rFonts w:ascii="Times New Roman" w:cs="Times New Roman" w:eastAsia="Times New Roman" w:hAnsi="Times New Roman"/>
          <w:sz w:val="20"/>
          <w:szCs w:val="20"/>
          <w:color w:val="auto"/>
        </w:rPr>
        <w:t>means a Director who either (i) is not a current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0"/>
          <w:szCs w:val="20"/>
          <w:b w:val="1"/>
          <w:bCs w:val="1"/>
          <w:i w:val="1"/>
          <w:iCs w:val="1"/>
          <w:color w:val="auto"/>
        </w:rPr>
        <w:t>“Regulation S-K”</w:t>
      </w:r>
      <w:r>
        <w:rPr>
          <w:rFonts w:ascii="Times New Roman" w:cs="Times New Roman" w:eastAsia="Times New Roman" w:hAnsi="Times New Roman"/>
          <w:sz w:val="20"/>
          <w:szCs w:val="20"/>
          <w:color w:val="auto"/>
        </w:rPr>
        <w:t>)), does not possess an interest in any other transaction for which disclosure would be required under Item 404(a) of Regulation S-K, and is not engaged in a business relationship for which disclosure would be required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619125</wp:posOffset>
            </wp:positionV>
            <wp:extent cx="545211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51" w:name="page252"/>
    <w:bookmarkEnd w:id="251"/>
    <w:p>
      <w:pPr>
        <w:ind w:left="200" w:right="219"/>
        <w:spacing w:after="0" w:line="269" w:lineRule="auto"/>
        <w:rPr>
          <w:sz w:val="20"/>
          <w:szCs w:val="20"/>
          <w:color w:val="auto"/>
        </w:rPr>
      </w:pPr>
      <w:r>
        <w:rPr>
          <w:rFonts w:ascii="Times New Roman" w:cs="Times New Roman" w:eastAsia="Times New Roman" w:hAnsi="Times New Roman"/>
          <w:sz w:val="20"/>
          <w:szCs w:val="20"/>
          <w:color w:val="auto"/>
        </w:rPr>
        <w:t>Item 404(b) of Regulation S-K; or (ii) is otherwise considered a “non-employee director” for purposes of Rule 16b-3.</w:t>
      </w:r>
    </w:p>
    <w:p>
      <w:pPr>
        <w:spacing w:after="0" w:line="155" w:lineRule="exact"/>
        <w:rPr>
          <w:sz w:val="20"/>
          <w:szCs w:val="20"/>
          <w:color w:val="auto"/>
        </w:rPr>
      </w:pPr>
    </w:p>
    <w:p>
      <w:pPr>
        <w:jc w:val="both"/>
        <w:ind w:left="200" w:right="219" w:firstLine="1305"/>
        <w:spacing w:after="0" w:line="250"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“Non-Exempt Award” </w:t>
      </w:r>
      <w:r>
        <w:rPr>
          <w:rFonts w:ascii="Times New Roman" w:cs="Times New Roman" w:eastAsia="Times New Roman" w:hAnsi="Times New Roman"/>
          <w:sz w:val="20"/>
          <w:szCs w:val="20"/>
          <w:color w:val="auto"/>
        </w:rPr>
        <w:t>means any Award that is subject to, and not exempt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409A, including as the result of (i) a deferral of the issuance of the shares subject to the Award which is elected by the Participant or imposed by the Company, or (ii) the terms of any Non-Exempt Severance Agreement.</w:t>
      </w:r>
    </w:p>
    <w:p>
      <w:pPr>
        <w:spacing w:after="0" w:line="175"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“Non-Exempt Director Award” </w:t>
      </w:r>
      <w:r>
        <w:rPr>
          <w:rFonts w:ascii="Times New Roman" w:cs="Times New Roman" w:eastAsia="Times New Roman" w:hAnsi="Times New Roman"/>
          <w:sz w:val="20"/>
          <w:szCs w:val="20"/>
          <w:color w:val="auto"/>
        </w:rPr>
        <w:t>means a Non-Exempt Award granted to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 who was a Director but not an Employee on the applicable grant date.</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“Non-Exempt Severance Arrangement” </w:t>
      </w:r>
      <w:r>
        <w:rPr>
          <w:rFonts w:ascii="Times New Roman" w:cs="Times New Roman" w:eastAsia="Times New Roman" w:hAnsi="Times New Roman"/>
          <w:sz w:val="20"/>
          <w:szCs w:val="20"/>
          <w:color w:val="auto"/>
        </w:rPr>
        <w:t>means a severance arrangement or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such severance benefit does not satisfy the requirements for an exemption from application of Section 409A provided under Treasury Regulations Section 1.409A-1(b)(4), 1.409A-1(b)(9) or otherwise.</w:t>
      </w:r>
    </w:p>
    <w:p>
      <w:pPr>
        <w:spacing w:after="0" w:line="179"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“Nonstatutory Stock Option” </w:t>
      </w:r>
      <w:r>
        <w:rPr>
          <w:rFonts w:ascii="Times New Roman" w:cs="Times New Roman" w:eastAsia="Times New Roman" w:hAnsi="Times New Roman"/>
          <w:sz w:val="20"/>
          <w:szCs w:val="20"/>
          <w:color w:val="auto"/>
        </w:rPr>
        <w:t>means any option granted pursuant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Plan that does not qualify as an Incentive Stock Option.</w:t>
      </w:r>
    </w:p>
    <w:p>
      <w:pPr>
        <w:spacing w:after="0" w:line="151"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“Officer” </w:t>
      </w:r>
      <w:r>
        <w:rPr>
          <w:rFonts w:ascii="Times New Roman" w:cs="Times New Roman" w:eastAsia="Times New Roman" w:hAnsi="Times New Roman"/>
          <w:sz w:val="20"/>
          <w:szCs w:val="20"/>
          <w:color w:val="auto"/>
        </w:rPr>
        <w:t>means a person who is an officer of the Company within the meaning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16 of the Exchange Act.</w:t>
      </w:r>
    </w:p>
    <w:p>
      <w:pPr>
        <w:spacing w:after="0" w:line="151"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“Option” </w:t>
      </w:r>
      <w:r>
        <w:rPr>
          <w:rFonts w:ascii="Times New Roman" w:cs="Times New Roman" w:eastAsia="Times New Roman" w:hAnsi="Times New Roman"/>
          <w:sz w:val="20"/>
          <w:szCs w:val="20"/>
          <w:color w:val="auto"/>
        </w:rPr>
        <w:t>means an Incentive Stock Option or a Nonstatutory Stock Option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 shares of the Common Stock granted pursuant to the Plan.</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46"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“Option Agreement” </w:t>
      </w:r>
      <w:r>
        <w:rPr>
          <w:rFonts w:ascii="Times New Roman" w:cs="Times New Roman" w:eastAsia="Times New Roman" w:hAnsi="Times New Roman"/>
          <w:sz w:val="20"/>
          <w:szCs w:val="20"/>
          <w:color w:val="auto"/>
        </w:rPr>
        <w:t>means a written or electronic agreement between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78"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“Optionholder” </w:t>
      </w:r>
      <w:r>
        <w:rPr>
          <w:rFonts w:ascii="Times New Roman" w:cs="Times New Roman" w:eastAsia="Times New Roman" w:hAnsi="Times New Roman"/>
          <w:sz w:val="20"/>
          <w:szCs w:val="20"/>
          <w:color w:val="auto"/>
        </w:rPr>
        <w:t>means a person to whom an Option is granted pursuant to the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if applicable, such other person who holds an outstanding Option.</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“Other Award” </w:t>
      </w:r>
      <w:r>
        <w:rPr>
          <w:rFonts w:ascii="Times New Roman" w:cs="Times New Roman" w:eastAsia="Times New Roman" w:hAnsi="Times New Roman"/>
          <w:sz w:val="20"/>
          <w:szCs w:val="20"/>
          <w:color w:val="auto"/>
        </w:rPr>
        <w:t>means an award valued in whole or in part by reference to,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80" w:lineRule="exact"/>
        <w:rPr>
          <w:rFonts w:ascii="Times New Roman" w:cs="Times New Roman" w:eastAsia="Times New Roman" w:hAnsi="Times New Roman"/>
          <w:sz w:val="20"/>
          <w:szCs w:val="20"/>
          <w:b w:val="1"/>
          <w:bCs w:val="1"/>
          <w:color w:val="auto"/>
        </w:rPr>
      </w:pPr>
    </w:p>
    <w:p>
      <w:pPr>
        <w:jc w:val="both"/>
        <w:ind w:left="200" w:right="239" w:firstLine="1305"/>
        <w:spacing w:after="0" w:line="256"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“Other Award Agreement” </w:t>
      </w:r>
      <w:r>
        <w:rPr>
          <w:rFonts w:ascii="Times New Roman" w:cs="Times New Roman" w:eastAsia="Times New Roman" w:hAnsi="Times New Roman"/>
          <w:sz w:val="20"/>
          <w:szCs w:val="20"/>
          <w:color w:val="auto"/>
        </w:rPr>
        <w:t>means a written agreement between the Company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holder of an Other Award evidencing the terms and conditions of an Other Award grant. Each Other Award Agreement will be subject to the terms and conditions of the Plan.</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“Own”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“Owned”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“Owner”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“Ownership” </w:t>
      </w:r>
      <w:r>
        <w:rPr>
          <w:rFonts w:ascii="Times New Roman" w:cs="Times New Roman" w:eastAsia="Times New Roman" w:hAnsi="Times New Roman"/>
          <w:sz w:val="20"/>
          <w:szCs w:val="20"/>
          <w:color w:val="auto"/>
        </w:rPr>
        <w:t>means that a person or Entity will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deemed to “Own,” to have “Owned,” to be the “Owner” of, or to have acquired “Ownership” of securities if such person or Entity, directly or indirectly, through any contract,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612775</wp:posOffset>
            </wp:positionV>
            <wp:extent cx="5452110"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52" w:name="page253"/>
    <w:bookmarkEnd w:id="252"/>
    <w:p>
      <w:pPr>
        <w:ind w:left="200" w:right="219"/>
        <w:spacing w:after="0" w:line="269" w:lineRule="auto"/>
        <w:rPr>
          <w:sz w:val="20"/>
          <w:szCs w:val="20"/>
          <w:color w:val="auto"/>
        </w:rPr>
      </w:pPr>
      <w:r>
        <w:rPr>
          <w:rFonts w:ascii="Times New Roman" w:cs="Times New Roman" w:eastAsia="Times New Roman" w:hAnsi="Times New Roman"/>
          <w:sz w:val="20"/>
          <w:szCs w:val="20"/>
          <w:color w:val="auto"/>
        </w:rPr>
        <w:t>understanding, relationship or otherwise, has or shares voting power, which includes the power to vote or to direct the voting, with respect to such securities.</w:t>
      </w:r>
    </w:p>
    <w:p>
      <w:pPr>
        <w:spacing w:after="0" w:line="155" w:lineRule="exact"/>
        <w:rPr>
          <w:sz w:val="20"/>
          <w:szCs w:val="20"/>
          <w:color w:val="auto"/>
        </w:rPr>
      </w:pPr>
    </w:p>
    <w:p>
      <w:pPr>
        <w:ind w:left="200" w:right="239" w:firstLine="1305"/>
        <w:spacing w:after="0" w:line="273" w:lineRule="auto"/>
        <w:tabs>
          <w:tab w:leader="none" w:pos="2144"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“Participant” </w:t>
      </w:r>
      <w:r>
        <w:rPr>
          <w:rFonts w:ascii="Times New Roman" w:cs="Times New Roman" w:eastAsia="Times New Roman" w:hAnsi="Times New Roman"/>
          <w:sz w:val="20"/>
          <w:szCs w:val="20"/>
          <w:color w:val="auto"/>
        </w:rPr>
        <w:t>means an Employee, Director or Consultant to whom an Award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granted pursuant to the Plan or, if applicable, such other person who holds an outstanding Award.</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60" w:lineRule="auto"/>
        <w:tabs>
          <w:tab w:leader="none" w:pos="2144" w:val="left"/>
        </w:tabs>
        <w:numPr>
          <w:ilvl w:val="0"/>
          <w:numId w:val="3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 xml:space="preserve">“Performance Award” </w:t>
      </w:r>
      <w:r>
        <w:rPr>
          <w:rFonts w:ascii="Times New Roman" w:cs="Times New Roman" w:eastAsia="Times New Roman" w:hAnsi="Times New Roman"/>
          <w:sz w:val="19"/>
          <w:szCs w:val="19"/>
          <w:color w:val="auto"/>
        </w:rPr>
        <w:t>means an Award that may vest or may be exercised or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cash award that may vest or become earned and paid contingent upon the attainment during a Performance Period of certain Performance Goals and which is granted under the terms and conditions of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5" w:lineRule="exact"/>
        <w:rPr>
          <w:rFonts w:ascii="Times New Roman" w:cs="Times New Roman" w:eastAsia="Times New Roman" w:hAnsi="Times New Roman"/>
          <w:sz w:val="19"/>
          <w:szCs w:val="19"/>
          <w:b w:val="1"/>
          <w:bCs w:val="1"/>
          <w:color w:val="auto"/>
        </w:rPr>
      </w:pPr>
    </w:p>
    <w:p>
      <w:pPr>
        <w:ind w:left="200" w:right="219" w:firstLine="1305"/>
        <w:spacing w:after="0"/>
        <w:tabs>
          <w:tab w:leader="none" w:pos="2144"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“Performance Criteria” </w:t>
      </w:r>
      <w:r>
        <w:rPr>
          <w:rFonts w:ascii="Times New Roman" w:cs="Times New Roman" w:eastAsia="Times New Roman" w:hAnsi="Times New Roman"/>
          <w:sz w:val="20"/>
          <w:szCs w:val="20"/>
          <w:color w:val="auto"/>
        </w:rPr>
        <w:t>means one or more criteria that the Board will select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product development goals; financing; regulatory milestones, including approval of a product; stockholder liquidity; corporate governance and compliance; product commercialization; intellectual property; personnel matters; progress of internal research; progress of partnered programs; partner satisfaction; budget management; data from clinical studies, partner or collaborator achievements; internal controls, including those related to the Sarbanes-Oxley Act of 2002; investor relations, analysts and communication; manufacturing achievements (including obtaining particular yields from manufacturing runs and other measurable objectives relates to process development activities); employee retention; strategic partnerships or transactions (including in-licensing and out-licensing of intellectual property); establishing relationships with commercial entities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204"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“Performance Goals” </w:t>
      </w:r>
      <w:r>
        <w:rPr>
          <w:rFonts w:ascii="Times New Roman" w:cs="Times New Roman" w:eastAsia="Times New Roman" w:hAnsi="Times New Roman"/>
          <w:sz w:val="20"/>
          <w:szCs w:val="20"/>
          <w:color w:val="auto"/>
        </w:rPr>
        <w:t>means, for a Performance Period, one or more goals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621665</wp:posOffset>
            </wp:positionV>
            <wp:extent cx="545211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53" w:name="page254"/>
    <w:bookmarkEnd w:id="253"/>
    <w:p>
      <w:pPr>
        <w:jc w:val="both"/>
        <w:ind w:left="200" w:right="219"/>
        <w:spacing w:after="0" w:line="260" w:lineRule="auto"/>
        <w:rPr>
          <w:sz w:val="20"/>
          <w:szCs w:val="20"/>
          <w:color w:val="auto"/>
        </w:rPr>
      </w:pPr>
      <w:r>
        <w:rPr>
          <w:rFonts w:ascii="Times New Roman" w:cs="Times New Roman" w:eastAsia="Times New Roman" w:hAnsi="Times New Roman"/>
          <w:sz w:val="19"/>
          <w:szCs w:val="19"/>
          <w:color w:val="auto"/>
        </w:rPr>
        <w:t>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w:t>
      </w:r>
    </w:p>
    <w:p>
      <w:pPr>
        <w:jc w:val="both"/>
        <w:ind w:left="200" w:right="219" w:firstLine="9"/>
        <w:spacing w:after="0" w:line="239" w:lineRule="auto"/>
        <w:tabs>
          <w:tab w:leader="none" w:pos="481"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98"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1"/>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“Performance Period” </w:t>
      </w:r>
      <w:r>
        <w:rPr>
          <w:rFonts w:ascii="Times New Roman" w:cs="Times New Roman" w:eastAsia="Times New Roman" w:hAnsi="Times New Roman"/>
          <w:sz w:val="20"/>
          <w:szCs w:val="20"/>
          <w:color w:val="auto"/>
        </w:rPr>
        <w:t>means the period of time selected by the Board over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5"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1"/>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“Plan” </w:t>
      </w:r>
      <w:r>
        <w:rPr>
          <w:rFonts w:ascii="Times New Roman" w:cs="Times New Roman" w:eastAsia="Times New Roman" w:hAnsi="Times New Roman"/>
          <w:sz w:val="20"/>
          <w:szCs w:val="20"/>
          <w:color w:val="auto"/>
        </w:rPr>
        <w:t>means this MetaVia Inc. Amended and Restated 2022 Equity Incentive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as amended from time to time.</w:t>
      </w:r>
    </w:p>
    <w:p>
      <w:pPr>
        <w:spacing w:after="0" w:line="151"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1"/>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“Plan Administrator” </w:t>
      </w:r>
      <w:r>
        <w:rPr>
          <w:rFonts w:ascii="Times New Roman" w:cs="Times New Roman" w:eastAsia="Times New Roman" w:hAnsi="Times New Roman"/>
          <w:sz w:val="20"/>
          <w:szCs w:val="20"/>
          <w:color w:val="auto"/>
        </w:rPr>
        <w:t>means the person, persons, and/or third-party administrator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designated by the Company to administer the day to day operations of the Plan.</w:t>
      </w:r>
    </w:p>
    <w:p>
      <w:pPr>
        <w:spacing w:after="0" w:line="152" w:lineRule="exact"/>
        <w:rPr>
          <w:sz w:val="20"/>
          <w:szCs w:val="20"/>
          <w:color w:val="auto"/>
        </w:rPr>
      </w:pPr>
    </w:p>
    <w:p>
      <w:pPr>
        <w:jc w:val="both"/>
        <w:ind w:left="200" w:right="219" w:firstLine="1305"/>
        <w:spacing w:after="0" w:line="300" w:lineRule="auto"/>
        <w:tabs>
          <w:tab w:leader="none" w:pos="2144" w:val="left"/>
        </w:tabs>
        <w:numPr>
          <w:ilvl w:val="0"/>
          <w:numId w:val="3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 xml:space="preserve">“Post-Termination Exercise Period” </w:t>
      </w:r>
      <w:r>
        <w:rPr>
          <w:rFonts w:ascii="Times New Roman" w:cs="Times New Roman" w:eastAsia="Times New Roman" w:hAnsi="Times New Roman"/>
          <w:sz w:val="19"/>
          <w:szCs w:val="19"/>
          <w:color w:val="auto"/>
        </w:rPr>
        <w:t>means the period following termination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Participant’s Continuous Service within which an Option or SAR is exercisable, as specified in </w:t>
      </w:r>
      <w:r>
        <w:rPr>
          <w:rFonts w:ascii="Times New Roman" w:cs="Times New Roman" w:eastAsia="Times New Roman" w:hAnsi="Times New Roman"/>
          <w:sz w:val="19"/>
          <w:szCs w:val="19"/>
          <w:u w:val="single" w:color="auto"/>
          <w:color w:val="auto"/>
        </w:rPr>
        <w:t>Section 4(h)</w:t>
      </w:r>
      <w:r>
        <w:rPr>
          <w:rFonts w:ascii="Times New Roman" w:cs="Times New Roman" w:eastAsia="Times New Roman" w:hAnsi="Times New Roman"/>
          <w:sz w:val="19"/>
          <w:szCs w:val="19"/>
          <w:color w:val="auto"/>
        </w:rPr>
        <w:t>.</w:t>
      </w:r>
    </w:p>
    <w:p>
      <w:pPr>
        <w:spacing w:after="0" w:line="128" w:lineRule="exact"/>
        <w:rPr>
          <w:rFonts w:ascii="Times New Roman" w:cs="Times New Roman" w:eastAsia="Times New Roman" w:hAnsi="Times New Roman"/>
          <w:sz w:val="19"/>
          <w:szCs w:val="19"/>
          <w:b w:val="1"/>
          <w:bCs w:val="1"/>
          <w:color w:val="auto"/>
        </w:rPr>
      </w:pPr>
    </w:p>
    <w:p>
      <w:pPr>
        <w:ind w:left="200" w:right="219" w:firstLine="1305"/>
        <w:spacing w:after="0" w:line="273" w:lineRule="auto"/>
        <w:tabs>
          <w:tab w:leader="none" w:pos="2144"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“Prior Plan’s Available Reserve” </w:t>
      </w:r>
      <w:r>
        <w:rPr>
          <w:rFonts w:ascii="Times New Roman" w:cs="Times New Roman" w:eastAsia="Times New Roman" w:hAnsi="Times New Roman"/>
          <w:sz w:val="20"/>
          <w:szCs w:val="20"/>
          <w:color w:val="auto"/>
        </w:rPr>
        <w:t>means the number of shares available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 of new awards under the Prior Plan as of the Effective Date.</w:t>
      </w:r>
    </w:p>
    <w:p>
      <w:pPr>
        <w:spacing w:after="0" w:line="151"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“Prior Plan” </w:t>
      </w:r>
      <w:r>
        <w:rPr>
          <w:rFonts w:ascii="Times New Roman" w:cs="Times New Roman" w:eastAsia="Times New Roman" w:hAnsi="Times New Roman"/>
          <w:sz w:val="20"/>
          <w:szCs w:val="20"/>
          <w:color w:val="auto"/>
        </w:rPr>
        <w:t>means the Gemphire Therapeutics, Inc. 2019 Equity Incentive Plan.</w:t>
      </w:r>
    </w:p>
    <w:p>
      <w:pPr>
        <w:spacing w:after="0" w:line="215"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“Prospectus” </w:t>
      </w:r>
      <w:r>
        <w:rPr>
          <w:rFonts w:ascii="Times New Roman" w:cs="Times New Roman" w:eastAsia="Times New Roman" w:hAnsi="Times New Roman"/>
          <w:sz w:val="20"/>
          <w:szCs w:val="20"/>
          <w:color w:val="auto"/>
        </w:rPr>
        <w:t>means the document containing the Plan information specified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10(a) of the Securities Act.</w:t>
      </w:r>
    </w:p>
    <w:p>
      <w:pPr>
        <w:spacing w:after="0" w:line="151"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207"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“Restricted Stock Award”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“RSA” </w:t>
      </w:r>
      <w:r>
        <w:rPr>
          <w:rFonts w:ascii="Times New Roman" w:cs="Times New Roman" w:eastAsia="Times New Roman" w:hAnsi="Times New Roman"/>
          <w:sz w:val="20"/>
          <w:szCs w:val="20"/>
          <w:color w:val="auto"/>
        </w:rPr>
        <w:t>means an Award of shares of the Common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Stock which is granted pursuant to the terms and conditions of </w:t>
      </w:r>
      <w:r>
        <w:rPr>
          <w:rFonts w:ascii="Times New Roman" w:cs="Times New Roman" w:eastAsia="Times New Roman" w:hAnsi="Times New Roman"/>
          <w:sz w:val="20"/>
          <w:szCs w:val="20"/>
          <w:u w:val="single" w:color="auto"/>
          <w:color w:val="auto"/>
        </w:rPr>
        <w:t>Section 5(a)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“Restricted Stock Award Agreement” </w:t>
      </w:r>
      <w:r>
        <w:rPr>
          <w:rFonts w:ascii="Times New Roman" w:cs="Times New Roman" w:eastAsia="Times New Roman" w:hAnsi="Times New Roman"/>
          <w:sz w:val="20"/>
          <w:szCs w:val="20"/>
          <w:color w:val="auto"/>
        </w:rPr>
        <w:t>means a written or electronic agreement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between the Company and a holder of a Restricted Stock Award evidencing the terms and conditions of a Restricted Stock Award grant. The Restricted Stock Award Agreement includes the Grant Notice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612775</wp:posOffset>
            </wp:positionV>
            <wp:extent cx="545211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54" w:name="page255"/>
    <w:bookmarkEnd w:id="254"/>
    <w:p>
      <w:pPr>
        <w:jc w:val="both"/>
        <w:ind w:left="200" w:right="239"/>
        <w:spacing w:after="0" w:line="249" w:lineRule="auto"/>
        <w:rPr>
          <w:sz w:val="20"/>
          <w:szCs w:val="20"/>
          <w:color w:val="auto"/>
        </w:rPr>
      </w:pPr>
      <w:r>
        <w:rPr>
          <w:rFonts w:ascii="Times New Roman" w:cs="Times New Roman" w:eastAsia="Times New Roman" w:hAnsi="Times New Roman"/>
          <w:sz w:val="20"/>
          <w:szCs w:val="20"/>
          <w:color w:val="auto"/>
        </w:rPr>
        <w:t>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76" w:lineRule="exact"/>
        <w:rPr>
          <w:sz w:val="20"/>
          <w:szCs w:val="20"/>
          <w:color w:val="auto"/>
        </w:rPr>
      </w:pPr>
    </w:p>
    <w:p>
      <w:pPr>
        <w:jc w:val="both"/>
        <w:ind w:left="200" w:right="219" w:firstLine="1305"/>
        <w:spacing w:after="0" w:line="245"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“Returning Shares” </w:t>
      </w:r>
      <w:r>
        <w:rPr>
          <w:rFonts w:ascii="Times New Roman" w:cs="Times New Roman" w:eastAsia="Times New Roman" w:hAnsi="Times New Roman"/>
          <w:sz w:val="20"/>
          <w:szCs w:val="20"/>
          <w:color w:val="auto"/>
        </w:rPr>
        <w:t>means shares subject to outstanding stock awards granted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“RSU Award”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“RSU” </w:t>
      </w:r>
      <w:r>
        <w:rPr>
          <w:rFonts w:ascii="Times New Roman" w:cs="Times New Roman" w:eastAsia="Times New Roman" w:hAnsi="Times New Roman"/>
          <w:sz w:val="20"/>
          <w:szCs w:val="20"/>
          <w:color w:val="auto"/>
        </w:rPr>
        <w:t>means an Award of restricted stock units representing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right to receive an issuance of shares of the Common Stock which is granted pursuant to the terms and conditions of </w:t>
      </w:r>
      <w:r>
        <w:rPr>
          <w:rFonts w:ascii="Times New Roman" w:cs="Times New Roman" w:eastAsia="Times New Roman" w:hAnsi="Times New Roman"/>
          <w:sz w:val="20"/>
          <w:szCs w:val="20"/>
          <w:u w:val="single" w:color="auto"/>
          <w:color w:val="auto"/>
        </w:rPr>
        <w:t>Section 5(a)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6"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“RSU Award Agreement” </w:t>
      </w:r>
      <w:r>
        <w:rPr>
          <w:rFonts w:ascii="Times New Roman" w:cs="Times New Roman" w:eastAsia="Times New Roman" w:hAnsi="Times New Roman"/>
          <w:sz w:val="20"/>
          <w:szCs w:val="20"/>
          <w:color w:val="auto"/>
        </w:rPr>
        <w:t>means a written or electronic agreement between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8"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“Rule 16b-3” </w:t>
      </w:r>
      <w:r>
        <w:rPr>
          <w:rFonts w:ascii="Times New Roman" w:cs="Times New Roman" w:eastAsia="Times New Roman" w:hAnsi="Times New Roman"/>
          <w:sz w:val="20"/>
          <w:szCs w:val="20"/>
          <w:color w:val="auto"/>
        </w:rPr>
        <w:t>means Rule 16b-3 promulgated under the Exchange Act or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successor to Rule 16b-3, as in effect from time to time.</w:t>
      </w:r>
    </w:p>
    <w:p>
      <w:pPr>
        <w:spacing w:after="0" w:line="151"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“Rule 405” </w:t>
      </w:r>
      <w:r>
        <w:rPr>
          <w:rFonts w:ascii="Times New Roman" w:cs="Times New Roman" w:eastAsia="Times New Roman" w:hAnsi="Times New Roman"/>
          <w:sz w:val="20"/>
          <w:szCs w:val="20"/>
          <w:color w:val="auto"/>
        </w:rPr>
        <w:t>means Rule 405 promulgated under the Securities Act.</w:t>
      </w:r>
    </w:p>
    <w:p>
      <w:pPr>
        <w:spacing w:after="0" w:line="215"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“Section 409A” </w:t>
      </w:r>
      <w:r>
        <w:rPr>
          <w:rFonts w:ascii="Times New Roman" w:cs="Times New Roman" w:eastAsia="Times New Roman" w:hAnsi="Times New Roman"/>
          <w:sz w:val="20"/>
          <w:szCs w:val="20"/>
          <w:color w:val="auto"/>
        </w:rPr>
        <w:t>means Section 409A of the Code and the regulations and other</w:t>
      </w:r>
    </w:p>
    <w:p>
      <w:pPr>
        <w:spacing w:after="0" w:line="25" w:lineRule="exact"/>
        <w:rPr>
          <w:rFonts w:ascii="Times New Roman" w:cs="Times New Roman" w:eastAsia="Times New Roman" w:hAnsi="Times New Roman"/>
          <w:sz w:val="20"/>
          <w:szCs w:val="20"/>
          <w:b w:val="1"/>
          <w:bCs w:val="1"/>
          <w:color w:val="auto"/>
        </w:rPr>
      </w:pPr>
    </w:p>
    <w:p>
      <w:pPr>
        <w:ind w:left="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guidance thereunder.</w:t>
      </w:r>
    </w:p>
    <w:p>
      <w:pPr>
        <w:spacing w:after="0" w:line="189"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“Section 409A Change in Control” </w:t>
      </w:r>
      <w:r>
        <w:rPr>
          <w:rFonts w:ascii="Times New Roman" w:cs="Times New Roman" w:eastAsia="Times New Roman" w:hAnsi="Times New Roman"/>
          <w:sz w:val="20"/>
          <w:szCs w:val="20"/>
          <w:color w:val="auto"/>
        </w:rPr>
        <w:t>means a change in the ownership or effective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control of the Company, or in the ownership of a substantial portion of the Company’s assets, as provided in Section 409A(a)(2)(A)(v) of the Code and Treasury Regulations Section 1.409A-3(i)(5) (without regard to any alternative definition thereunder).</w:t>
      </w:r>
    </w:p>
    <w:p>
      <w:pPr>
        <w:spacing w:after="0" w:line="175"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“Securities Act” </w:t>
      </w:r>
      <w:r>
        <w:rPr>
          <w:rFonts w:ascii="Times New Roman" w:cs="Times New Roman" w:eastAsia="Times New Roman" w:hAnsi="Times New Roman"/>
          <w:sz w:val="20"/>
          <w:szCs w:val="20"/>
          <w:color w:val="auto"/>
        </w:rPr>
        <w:t>means the Securities Act of 1933, as amended.</w:t>
      </w:r>
    </w:p>
    <w:p>
      <w:pPr>
        <w:spacing w:after="0" w:line="215"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“Share Reserve” </w:t>
      </w:r>
      <w:r>
        <w:rPr>
          <w:rFonts w:ascii="Times New Roman" w:cs="Times New Roman" w:eastAsia="Times New Roman" w:hAnsi="Times New Roman"/>
          <w:sz w:val="20"/>
          <w:szCs w:val="20"/>
          <w:color w:val="auto"/>
        </w:rPr>
        <w:t>means the number of shares available for issuance under the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as set forth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b w:val="1"/>
          <w:bCs w:val="1"/>
          <w:color w:val="auto"/>
        </w:rPr>
      </w:pPr>
    </w:p>
    <w:p>
      <w:pPr>
        <w:ind w:left="200" w:right="239" w:firstLine="1305"/>
        <w:spacing w:after="0" w:line="273"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“Stock Appreciation Right”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i w:val="1"/>
          <w:iCs w:val="1"/>
          <w:color w:val="auto"/>
        </w:rPr>
        <w:t xml:space="preserve"> “SAR” </w:t>
      </w:r>
      <w:r>
        <w:rPr>
          <w:rFonts w:ascii="Times New Roman" w:cs="Times New Roman" w:eastAsia="Times New Roman" w:hAnsi="Times New Roman"/>
          <w:sz w:val="20"/>
          <w:szCs w:val="20"/>
          <w:color w:val="auto"/>
        </w:rPr>
        <w:t>means a right to receive the appreciation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Common Stock that is granted pursuant to the terms and conditions of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3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“SAR Agreement” </w:t>
      </w:r>
      <w:r>
        <w:rPr>
          <w:rFonts w:ascii="Times New Roman" w:cs="Times New Roman" w:eastAsia="Times New Roman" w:hAnsi="Times New Roman"/>
          <w:sz w:val="20"/>
          <w:szCs w:val="20"/>
          <w:color w:val="auto"/>
        </w:rPr>
        <w:t>means a written or electronic agreement between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545211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55" w:name="page256"/>
    <w:bookmarkEnd w:id="255"/>
    <w:p>
      <w:pPr>
        <w:ind w:left="200" w:right="219"/>
        <w:spacing w:after="0" w:line="269" w:lineRule="auto"/>
        <w:rPr>
          <w:sz w:val="20"/>
          <w:szCs w:val="20"/>
          <w:color w:val="auto"/>
        </w:rPr>
      </w:pPr>
      <w:r>
        <w:rPr>
          <w:rFonts w:ascii="Times New Roman" w:cs="Times New Roman" w:eastAsia="Times New Roman" w:hAnsi="Times New Roman"/>
          <w:sz w:val="20"/>
          <w:szCs w:val="20"/>
          <w:color w:val="auto"/>
        </w:rPr>
        <w:t>means, to a Participant along with the Grant Notice. Each SAR Agreement will be subject to the terms and conditions of the Plan.</w:t>
      </w:r>
    </w:p>
    <w:p>
      <w:pPr>
        <w:spacing w:after="0" w:line="155" w:lineRule="exact"/>
        <w:rPr>
          <w:sz w:val="20"/>
          <w:szCs w:val="20"/>
          <w:color w:val="auto"/>
        </w:rPr>
      </w:pPr>
    </w:p>
    <w:p>
      <w:pPr>
        <w:jc w:val="both"/>
        <w:ind w:left="200" w:right="219" w:firstLine="1305"/>
        <w:spacing w:after="0" w:line="245" w:lineRule="auto"/>
        <w:tabs>
          <w:tab w:leader="none" w:pos="2144"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“Subsidiary” </w:t>
      </w:r>
      <w:r>
        <w:rPr>
          <w:rFonts w:ascii="Times New Roman" w:cs="Times New Roman" w:eastAsia="Times New Roman" w:hAnsi="Times New Roman"/>
          <w:sz w:val="20"/>
          <w:szCs w:val="20"/>
          <w:color w:val="auto"/>
        </w:rPr>
        <w:t>means, with respect to the Company, (i) any corporation of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“Ten Percent Stockholder” </w:t>
      </w:r>
      <w:r>
        <w:rPr>
          <w:rFonts w:ascii="Times New Roman" w:cs="Times New Roman" w:eastAsia="Times New Roman" w:hAnsi="Times New Roman"/>
          <w:sz w:val="20"/>
          <w:szCs w:val="20"/>
          <w:color w:val="auto"/>
        </w:rPr>
        <w:t>means a person who Owns (or is deemed to Own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pursuant to Section 424(d) of the Code) stock possessing more than 10% of the total combined voting power of all classes of stock of the Company or any Affiliate.</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“Trading Policy” </w:t>
      </w:r>
      <w:r>
        <w:rPr>
          <w:rFonts w:ascii="Times New Roman" w:cs="Times New Roman" w:eastAsia="Times New Roman" w:hAnsi="Times New Roman"/>
          <w:sz w:val="20"/>
          <w:szCs w:val="20"/>
          <w:color w:val="auto"/>
        </w:rPr>
        <w:t>means the Company’s policy permitting certain individuals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sell Company shares only during certain “window” periods and/or otherwise restricts the ability of certain individuals to transfer or encumber Company shares, as in effect from time to time.</w:t>
      </w:r>
    </w:p>
    <w:p>
      <w:pPr>
        <w:spacing w:after="0" w:line="168"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“Unvested Non-Exempt Award” </w:t>
      </w:r>
      <w:r>
        <w:rPr>
          <w:rFonts w:ascii="Times New Roman" w:cs="Times New Roman" w:eastAsia="Times New Roman" w:hAnsi="Times New Roman"/>
          <w:sz w:val="20"/>
          <w:szCs w:val="20"/>
          <w:color w:val="auto"/>
        </w:rPr>
        <w:t>means the portion of any Non-Exempt Award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had not vested in accordance with its terms upon or prior to the date of any Corporate Transaction.</w:t>
      </w:r>
    </w:p>
    <w:p>
      <w:pPr>
        <w:spacing w:after="0" w:line="151"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0"/>
          <w:numId w:val="3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“Vested Non-Exempt Award” </w:t>
      </w:r>
      <w:r>
        <w:rPr>
          <w:rFonts w:ascii="Times New Roman" w:cs="Times New Roman" w:eastAsia="Times New Roman" w:hAnsi="Times New Roman"/>
          <w:sz w:val="20"/>
          <w:szCs w:val="20"/>
          <w:color w:val="auto"/>
        </w:rPr>
        <w:t>means the portion of any Non-Exempt Award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had vested in accordance with its terms upon or prior to the date of a Corporate Transaction.</w:t>
      </w:r>
    </w:p>
    <w:p>
      <w:pPr>
        <w:spacing w:after="0" w:line="200" w:lineRule="exact"/>
        <w:rPr>
          <w:rFonts w:ascii="Times New Roman" w:cs="Times New Roman" w:eastAsia="Times New Roman" w:hAnsi="Times New Roman"/>
          <w:sz w:val="20"/>
          <w:szCs w:val="20"/>
          <w:b w:val="1"/>
          <w:bCs w:val="1"/>
          <w:color w:val="auto"/>
        </w:rPr>
      </w:pPr>
    </w:p>
    <w:p>
      <w:pPr>
        <w:spacing w:after="0" w:line="392" w:lineRule="exact"/>
        <w:rPr>
          <w:rFonts w:ascii="Times New Roman" w:cs="Times New Roman" w:eastAsia="Times New Roman" w:hAnsi="Times New Roman"/>
          <w:sz w:val="20"/>
          <w:szCs w:val="20"/>
          <w:b w:val="1"/>
          <w:bCs w:val="1"/>
          <w:color w:val="auto"/>
        </w:rPr>
      </w:pPr>
    </w:p>
    <w:p>
      <w:pPr>
        <w:ind w:left="42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1329055</wp:posOffset>
            </wp:positionV>
            <wp:extent cx="545211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56" w:name="page257"/>
    <w:bookmarkEnd w:id="256"/>
    <w:p>
      <w:pPr>
        <w:jc w:val="right"/>
        <w:ind w:right="199"/>
        <w:spacing w:after="0"/>
        <w:rPr>
          <w:sz w:val="20"/>
          <w:szCs w:val="20"/>
          <w:color w:val="auto"/>
        </w:rPr>
      </w:pPr>
      <w:r>
        <w:rPr>
          <w:rFonts w:ascii="Times New Roman" w:cs="Times New Roman" w:eastAsia="Times New Roman" w:hAnsi="Times New Roman"/>
          <w:sz w:val="20"/>
          <w:szCs w:val="20"/>
          <w:color w:val="auto"/>
        </w:rPr>
        <w:t>  </w:t>
      </w:r>
    </w:p>
    <w:p>
      <w:pPr>
        <w:spacing w:after="0" w:line="2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i w:val="1"/>
          <w:iCs w:val="1"/>
          <w:color w:val="auto"/>
        </w:rPr>
        <w:t>Standard RSU Package</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RSU AWARD GRANT NOTICE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has awarded to you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w:t>
      </w:r>
    </w:p>
    <w:p>
      <w:pPr>
        <w:ind w:left="200"/>
        <w:spacing w:after="0"/>
        <w:rPr>
          <w:sz w:val="20"/>
          <w:szCs w:val="20"/>
          <w:color w:val="auto"/>
        </w:rPr>
      </w:pPr>
      <w:r>
        <w:rPr>
          <w:rFonts w:ascii="Times New Roman" w:cs="Times New Roman" w:eastAsia="Times New Roman" w:hAnsi="Times New Roman"/>
          <w:sz w:val="20"/>
          <w:szCs w:val="20"/>
          <w:color w:val="auto"/>
        </w:rPr>
        <w:t>the number of restricted stock units specified and on the terms set forth below in consideration of your</w:t>
      </w:r>
    </w:p>
    <w:p>
      <w:pPr>
        <w:ind w:left="200"/>
        <w:spacing w:after="0"/>
        <w:rPr>
          <w:sz w:val="20"/>
          <w:szCs w:val="20"/>
          <w:color w:val="auto"/>
        </w:rPr>
      </w:pPr>
      <w:r>
        <w:rPr>
          <w:rFonts w:ascii="Times New Roman" w:cs="Times New Roman" w:eastAsia="Times New Roman" w:hAnsi="Times New Roman"/>
          <w:sz w:val="20"/>
          <w:szCs w:val="20"/>
          <w:color w:val="auto"/>
        </w:rPr>
        <w:t xml:space="preserve">services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Your RSU Award is subject to all of the terms and conditions as set forth</w:t>
      </w:r>
    </w:p>
    <w:p>
      <w:pPr>
        <w:ind w:left="200"/>
        <w:spacing w:after="0"/>
        <w:rPr>
          <w:sz w:val="20"/>
          <w:szCs w:val="20"/>
          <w:color w:val="auto"/>
        </w:rPr>
      </w:pPr>
      <w:r>
        <w:rPr>
          <w:rFonts w:ascii="Times New Roman" w:cs="Times New Roman" w:eastAsia="Times New Roman" w:hAnsi="Times New Roman"/>
          <w:sz w:val="20"/>
          <w:szCs w:val="20"/>
          <w:color w:val="auto"/>
        </w:rPr>
        <w:t xml:space="preserve">herein and in the Company’s Amended and Restated 2022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w:t>
      </w:r>
    </w:p>
    <w:p>
      <w:pPr>
        <w:ind w:left="200"/>
        <w:spacing w:after="0"/>
        <w:rPr>
          <w:sz w:val="20"/>
          <w:szCs w:val="20"/>
          <w:color w:val="auto"/>
        </w:rPr>
      </w:pPr>
      <w:r>
        <w:rPr>
          <w:rFonts w:ascii="Times New Roman" w:cs="Times New Roman" w:eastAsia="Times New Roman" w:hAnsi="Times New Roman"/>
          <w:sz w:val="20"/>
          <w:szCs w:val="20"/>
          <w:color w:val="auto"/>
        </w:rPr>
        <w:t xml:space="preserve">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are attached hereto and incorporated herein in their entirety.</w:t>
      </w:r>
    </w:p>
    <w:p>
      <w:pPr>
        <w:ind w:left="200"/>
        <w:spacing w:after="0"/>
        <w:rPr>
          <w:sz w:val="20"/>
          <w:szCs w:val="20"/>
          <w:color w:val="auto"/>
        </w:rPr>
      </w:pPr>
      <w:r>
        <w:rPr>
          <w:rFonts w:ascii="Times New Roman" w:cs="Times New Roman" w:eastAsia="Times New Roman" w:hAnsi="Times New Roman"/>
          <w:sz w:val="20"/>
          <w:szCs w:val="20"/>
          <w:color w:val="auto"/>
        </w:rPr>
        <w:t>Capitalized terms not explicitly defined herein but defined in the Plan or the Agreement shall have the</w:t>
      </w:r>
    </w:p>
    <w:p>
      <w:pPr>
        <w:ind w:left="200"/>
        <w:spacing w:after="0"/>
        <w:rPr>
          <w:sz w:val="20"/>
          <w:szCs w:val="20"/>
          <w:color w:val="auto"/>
        </w:rPr>
      </w:pPr>
      <w:r>
        <w:rPr>
          <w:rFonts w:ascii="Times New Roman" w:cs="Times New Roman" w:eastAsia="Times New Roman" w:hAnsi="Times New Roman"/>
          <w:sz w:val="20"/>
          <w:szCs w:val="20"/>
          <w:color w:val="auto"/>
        </w:rPr>
        <w:t>meanings set forth in the Plan or the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spacing w:after="0"/>
        <w:rPr>
          <w:sz w:val="20"/>
          <w:szCs w:val="20"/>
          <w:color w:val="auto"/>
        </w:rPr>
      </w:pPr>
      <w:r>
        <w:rPr>
          <w:rFonts w:ascii="Times New Roman" w:cs="Times New Roman" w:eastAsia="Times New Roman" w:hAnsi="Times New Roman"/>
          <w:sz w:val="20"/>
          <w:szCs w:val="20"/>
          <w:color w:val="auto"/>
        </w:rPr>
        <w:t>Participant:</w:t>
      </w:r>
    </w:p>
    <w:p>
      <w:pPr>
        <w:ind w:left="20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-144780</wp:posOffset>
            </wp:positionV>
            <wp:extent cx="21774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-140335</wp:posOffset>
            </wp:positionV>
            <wp:extent cx="21774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-140335</wp:posOffset>
            </wp:positionV>
            <wp:extent cx="21774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04"/>
        </w:trPr>
        <w:tc>
          <w:tcPr>
            <w:tcW w:w="102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 </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40" w:type="dxa"/>
            <w:vAlign w:val="bottom"/>
            <w:tcBorders>
              <w:top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Schedule: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spacing w:after="0"/>
              <w:rPr>
                <w:sz w:val="22"/>
                <w:szCs w:val="22"/>
                <w:color w:val="auto"/>
              </w:rPr>
            </w:pP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2"/>
        </w:trPr>
        <w:tc>
          <w:tcPr>
            <w:tcW w:w="102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 </w:t>
            </w:r>
          </w:p>
        </w:tc>
        <w:tc>
          <w:tcPr>
            <w:tcW w:w="26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ind w:left="1500" w:right="239"/>
        <w:spacing w:after="0" w:line="239" w:lineRule="auto"/>
        <w:rPr>
          <w:sz w:val="20"/>
          <w:szCs w:val="20"/>
          <w:color w:val="auto"/>
        </w:rPr>
      </w:pPr>
      <w:r>
        <w:rPr>
          <w:rFonts w:ascii="Times New Roman" w:cs="Times New Roman" w:eastAsia="Times New Roman" w:hAnsi="Times New Roman"/>
          <w:sz w:val="20"/>
          <w:szCs w:val="20"/>
          <w:color w:val="auto"/>
        </w:rPr>
        <w:t>Notwithstanding the foregoing, vesting shall terminate upon the Participant’s termination of Continuous Service.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Issuance</w:t>
      </w:r>
      <w:r>
        <w:rPr>
          <w:sz w:val="20"/>
          <w:szCs w:val="20"/>
          <w:color w:val="auto"/>
        </w:rPr>
        <w:tab/>
      </w:r>
      <w:r>
        <w:rPr>
          <w:rFonts w:ascii="Times New Roman" w:cs="Times New Roman" w:eastAsia="Times New Roman" w:hAnsi="Times New Roman"/>
          <w:sz w:val="20"/>
          <w:szCs w:val="20"/>
          <w:color w:val="auto"/>
        </w:rPr>
        <w:t>One share of Common Stock will be issued for each restricted stock unit which vests at the</w:t>
      </w:r>
    </w:p>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Schedule:</w:t>
      </w:r>
      <w:r>
        <w:rPr>
          <w:sz w:val="20"/>
          <w:szCs w:val="20"/>
          <w:color w:val="auto"/>
        </w:rPr>
        <w:tab/>
      </w:r>
      <w:r>
        <w:rPr>
          <w:rFonts w:ascii="Times New Roman" w:cs="Times New Roman" w:eastAsia="Times New Roman" w:hAnsi="Times New Roman"/>
          <w:sz w:val="20"/>
          <w:szCs w:val="20"/>
          <w:color w:val="auto"/>
        </w:rPr>
        <w:t xml:space="preserve">time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the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spacing w:after="0"/>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your signature below or by electronic acceptance or authentication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form authorized by the Company, you understand and agree that:  </w:t>
      </w:r>
    </w:p>
    <w:p>
      <w:pPr>
        <w:spacing w:after="0" w:line="229" w:lineRule="exact"/>
        <w:rPr>
          <w:sz w:val="20"/>
          <w:szCs w:val="20"/>
          <w:color w:val="auto"/>
        </w:rPr>
      </w:pPr>
    </w:p>
    <w:p>
      <w:pPr>
        <w:jc w:val="both"/>
        <w:ind w:left="1500" w:right="219" w:hanging="643"/>
        <w:spacing w:after="0" w:line="239" w:lineRule="auto"/>
        <w:tabs>
          <w:tab w:leader="none" w:pos="150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RSU Award is governed by this RSU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57" w:name="page258"/>
    <w:bookmarkEnd w:id="257"/>
    <w:p>
      <w:pPr>
        <w:jc w:val="both"/>
        <w:ind w:left="1500" w:right="219" w:hanging="643"/>
        <w:spacing w:after="0" w:line="255" w:lineRule="auto"/>
        <w:tabs>
          <w:tab w:leader="none" w:pos="150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fullest extent permitted under the Plan and applicable law, any withholding taxes applicable to the RSU Award will be satisfied through the sale of a number of the shares issuable in settlement of the RSU Award as determined in accordance with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of the Agreement and the remittance of the cash proceeds to the Company. Under the Agreement, the Company or, if different, your employer shall make payment from the cash proceeds of this sale directly to the appropriate tax or social security authorities in an amount equal to the taxes required to be remitted. </w:t>
      </w:r>
      <w:r>
        <w:rPr>
          <w:rFonts w:ascii="Times New Roman" w:cs="Times New Roman" w:eastAsia="Times New Roman" w:hAnsi="Times New Roman"/>
          <w:sz w:val="19"/>
          <w:szCs w:val="19"/>
          <w:b w:val="1"/>
          <w:bCs w:val="1"/>
          <w:i w:val="1"/>
          <w:iCs w:val="1"/>
          <w:color w:val="auto"/>
        </w:rPr>
        <w:t>The mandatory sale of shares to cover withholding taxes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is imposed by the Company on you in connection with your receipt of this RSU Award.</w:t>
      </w:r>
    </w:p>
    <w:p>
      <w:pPr>
        <w:jc w:val="both"/>
        <w:ind w:left="1500" w:right="219" w:hanging="643"/>
        <w:spacing w:after="0" w:line="239" w:lineRule="auto"/>
        <w:tabs>
          <w:tab w:leader="none" w:pos="1500"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(ii) any written employment agreement, offer letter, severance agreement, written severance plan or policy, or other written agreement between the Company and you in each case that specifies the terms that should govern this RSU Award, and (iii)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tbl>
      <w:tblPr>
        <w:tblLayout w:type="fixed"/>
        <w:tblInd w:w="200" w:type="dxa"/>
        <w:tblCellMar>
          <w:top w:w="0" w:type="dxa"/>
          <w:left w:w="0" w:type="dxa"/>
          <w:bottom w:w="0" w:type="dxa"/>
          <w:right w:w="0" w:type="dxa"/>
        </w:tblCellMar>
      </w:tblPr>
      <w:tr>
        <w:trPr>
          <w:trHeight w:val="208"/>
        </w:trPr>
        <w:tc>
          <w:tcPr>
            <w:tcW w:w="430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THE COMPANY:</w:t>
            </w: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8"/>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1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nsert</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3"/>
                <w:szCs w:val="13"/>
                <w:color w:val="auto"/>
              </w:rPr>
              <w:t>ame</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60" w:type="dxa"/>
            <w:vAlign w:val="bottom"/>
            <w:vMerge w:val="continue"/>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740" w:type="dxa"/>
            <w:vAlign w:val="bottom"/>
            <w:tcBorders>
              <w:bottom w:val="single" w:sz="8" w:color="auto"/>
            </w:tcBorders>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Date:</w:t>
            </w:r>
          </w:p>
        </w:tc>
      </w:tr>
      <w:tr>
        <w:trPr>
          <w:trHeight w:val="222"/>
        </w:trPr>
        <w:tc>
          <w:tcPr>
            <w:tcW w:w="5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 </w:t>
            </w:r>
          </w:p>
        </w:tc>
        <w:tc>
          <w:tcPr>
            <w:tcW w:w="37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-153035</wp:posOffset>
            </wp:positionV>
            <wp:extent cx="23742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200" w:right="113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ATTACHMENTS: </w:t>
      </w:r>
      <w:r>
        <w:rPr>
          <w:rFonts w:ascii="Times New Roman" w:cs="Times New Roman" w:eastAsia="Times New Roman" w:hAnsi="Times New Roman"/>
          <w:sz w:val="20"/>
          <w:szCs w:val="20"/>
          <w:color w:val="auto"/>
        </w:rPr>
        <w:t>RSU Award Agreement, Amended and Restated 2022 Equity Incentive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481330</wp:posOffset>
            </wp:positionV>
            <wp:extent cx="545211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58" w:name="page259"/>
    <w:bookmarkEnd w:id="25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AWARD AGREEMENT (RSU AWARD)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color w:val="auto"/>
        </w:rPr>
        <w:t xml:space="preserve">As reflected by your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MetaVia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has granted you a RSU Award under the Company’s Amended and Restated 2022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for the number of restricted stock units as indicated in your Grant Notice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xml:space="preserve">). The terms of your RSU Award as specified in this Award Agreement for your RSU Award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xml:space="preserve">) and the Grant Notice constitute your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Defined terms not explicitly defined in this Agreement but defined in the Grant Notice 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shall have the same definitions as in the Grant Notice or Plan, as applicable.  </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general terms applicable to your RSU Award are as follows:</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1.             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RSU Award is subject to all the provisions of the Plan,</w:t>
      </w:r>
    </w:p>
    <w:p>
      <w:pPr>
        <w:ind w:left="200"/>
        <w:spacing w:after="0"/>
        <w:rPr>
          <w:sz w:val="20"/>
          <w:szCs w:val="20"/>
          <w:color w:val="auto"/>
        </w:rPr>
      </w:pPr>
      <w:r>
        <w:rPr>
          <w:rFonts w:ascii="Times New Roman" w:cs="Times New Roman" w:eastAsia="Times New Roman" w:hAnsi="Times New Roman"/>
          <w:sz w:val="20"/>
          <w:szCs w:val="20"/>
          <w:color w:val="auto"/>
        </w:rPr>
        <w:t>including but not limited to the provisions in: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regarding the impact of a Capitalization Adjustment,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dissolution, liquidation, or Corporate Transaction on your RSU Award;  </w:t>
      </w:r>
    </w:p>
    <w:p>
      <w:pPr>
        <w:spacing w:after="0" w:line="229" w:lineRule="exact"/>
        <w:rPr>
          <w:sz w:val="20"/>
          <w:szCs w:val="20"/>
          <w:color w:val="auto"/>
        </w:rPr>
      </w:pP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(b)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9(e) </w:t>
      </w:r>
      <w:r>
        <w:rPr>
          <w:rFonts w:ascii="Times New Roman" w:cs="Times New Roman" w:eastAsia="Times New Roman" w:hAnsi="Times New Roman"/>
          <w:sz w:val="20"/>
          <w:szCs w:val="20"/>
          <w:color w:val="auto"/>
        </w:rPr>
        <w:t>of the Plan regarding the Company’s retained rights to terminate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Service notwithstanding the grant of the RSU Award; and  </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regarding the tax consequences of your RSU Award.</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line="239" w:lineRule="auto"/>
        <w:rPr>
          <w:sz w:val="20"/>
          <w:szCs w:val="20"/>
          <w:color w:val="auto"/>
        </w:rPr>
      </w:pPr>
      <w:r>
        <w:rPr>
          <w:rFonts w:ascii="Times New Roman" w:cs="Times New Roman" w:eastAsia="Times New Roman" w:hAnsi="Times New Roman"/>
          <w:sz w:val="20"/>
          <w:szCs w:val="20"/>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spacing w:after="0" w:line="2" w:lineRule="exact"/>
        <w:rPr>
          <w:sz w:val="20"/>
          <w:szCs w:val="20"/>
          <w:color w:val="auto"/>
        </w:rPr>
      </w:pP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2.             G</w:t>
      </w:r>
      <w:r>
        <w:rPr>
          <w:rFonts w:ascii="Times New Roman" w:cs="Times New Roman" w:eastAsia="Times New Roman" w:hAnsi="Times New Roman"/>
          <w:sz w:val="13"/>
          <w:szCs w:val="13"/>
          <w:b w:val="1"/>
          <w:bCs w:val="1"/>
          <w:color w:val="auto"/>
        </w:rPr>
        <w:t>rant of the</w:t>
      </w:r>
      <w:r>
        <w:rPr>
          <w:rFonts w:ascii="Times New Roman" w:cs="Times New Roman" w:eastAsia="Times New Roman" w:hAnsi="Times New Roman"/>
          <w:sz w:val="20"/>
          <w:szCs w:val="20"/>
          <w:b w:val="1"/>
          <w:bCs w:val="1"/>
          <w:color w:val="auto"/>
        </w:rPr>
        <w:t xml:space="preserve"> RSU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RSU Award represents your right to be issued on a future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xml:space="preserve">). Any additional Restricted Stock Units that become subject to the RSU Award pursuant to Capitalization Adjustments as set forth in the Plan and the provisions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if any, shall be subject, in a manner determined by the Board, to the same forfeiture restrictions, restrictions on transferability, and time and manner of delivery as applicable to the other Restricted Stock Units covered by your RSU Award.  </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b w:val="1"/>
          <w:bCs w:val="1"/>
          <w:color w:val="auto"/>
        </w:rPr>
        <w:t>3.             D</w:t>
      </w:r>
      <w:r>
        <w:rPr>
          <w:rFonts w:ascii="Times New Roman" w:cs="Times New Roman" w:eastAsia="Times New Roman" w:hAnsi="Times New Roman"/>
          <w:sz w:val="12"/>
          <w:szCs w:val="12"/>
          <w:b w:val="1"/>
          <w:bCs w:val="1"/>
          <w:color w:val="auto"/>
        </w:rPr>
        <w:t>ividends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shall receive no benefit or adjustment to your RSU Award with respect to any</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cash dividend, stock dividend or other distribution that does not result from a Capitalization Adjustment as</w:t>
      </w:r>
    </w:p>
    <w:p>
      <w:pPr>
        <w:ind w:left="200"/>
        <w:spacing w:after="0"/>
        <w:rPr>
          <w:sz w:val="20"/>
          <w:szCs w:val="20"/>
          <w:color w:val="auto"/>
        </w:rPr>
      </w:pPr>
      <w:r>
        <w:rPr>
          <w:rFonts w:ascii="Times New Roman" w:cs="Times New Roman" w:eastAsia="Times New Roman" w:hAnsi="Times New Roman"/>
          <w:sz w:val="20"/>
          <w:szCs w:val="20"/>
          <w:color w:val="auto"/>
        </w:rPr>
        <w:t>provided in the Plan; provided, however, that this sentence shall not apply with respect to any shares of</w:t>
      </w:r>
    </w:p>
    <w:p>
      <w:pPr>
        <w:ind w:left="200"/>
        <w:spacing w:after="0"/>
        <w:rPr>
          <w:sz w:val="20"/>
          <w:szCs w:val="20"/>
          <w:color w:val="auto"/>
        </w:rPr>
      </w:pPr>
      <w:r>
        <w:rPr>
          <w:rFonts w:ascii="Times New Roman" w:cs="Times New Roman" w:eastAsia="Times New Roman" w:hAnsi="Times New Roman"/>
          <w:sz w:val="20"/>
          <w:szCs w:val="20"/>
          <w:color w:val="auto"/>
        </w:rPr>
        <w:t>Common Stock that are delivered to you in connection with your RSU Award after such shares have been</w:t>
      </w:r>
    </w:p>
    <w:p>
      <w:pPr>
        <w:ind w:left="200"/>
        <w:spacing w:after="0"/>
        <w:rPr>
          <w:sz w:val="20"/>
          <w:szCs w:val="20"/>
          <w:color w:val="auto"/>
        </w:rPr>
      </w:pPr>
      <w:r>
        <w:rPr>
          <w:rFonts w:ascii="Times New Roman" w:cs="Times New Roman" w:eastAsia="Times New Roman" w:hAnsi="Times New Roman"/>
          <w:sz w:val="20"/>
          <w:szCs w:val="20"/>
          <w:color w:val="auto"/>
        </w:rPr>
        <w:t>delivered to you.</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4.             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39" w:firstLine="1296"/>
        <w:spacing w:after="0" w:line="242" w:lineRule="auto"/>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You acknowledge that, regardless of any action taken by the Company, or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different, the Affiliate employing or engaging you (the </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the ultimate liability for all income tax (including U.S. federal, state, and local taxes and/or non-U.S. taxes), social insurance, payroll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59" w:name="page260"/>
    <w:bookmarkEnd w:id="259"/>
    <w:p>
      <w:pPr>
        <w:ind w:left="200" w:right="219"/>
        <w:spacing w:after="0" w:line="241" w:lineRule="auto"/>
        <w:rPr>
          <w:sz w:val="20"/>
          <w:szCs w:val="20"/>
          <w:color w:val="auto"/>
        </w:rPr>
      </w:pPr>
      <w:r>
        <w:rPr>
          <w:rFonts w:ascii="Times New Roman" w:cs="Times New Roman" w:eastAsia="Times New Roman" w:hAnsi="Times New Roman"/>
          <w:sz w:val="20"/>
          <w:szCs w:val="20"/>
          <w:color w:val="auto"/>
        </w:rPr>
        <w:t xml:space="preserve">fringe benefits tax, payment on account or other tax-related items related to your participation in the Plan and legally applicable to you (the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 equivalent; and (ii) do not commit to and are under no obligation to reduce or eliminate your liability for Tax-Related Items. Further, if you become subject to taxation in more than one country, you acknowledge that the Company and/or the Employer (or former employer, as applicable) may be required to withhold or account for Tax-Related Items in more than one country.  </w:t>
      </w:r>
    </w:p>
    <w:p>
      <w:pPr>
        <w:spacing w:after="0" w:line="5" w:lineRule="exact"/>
        <w:rPr>
          <w:sz w:val="20"/>
          <w:szCs w:val="20"/>
          <w:color w:val="auto"/>
        </w:rPr>
      </w:pPr>
    </w:p>
    <w:p>
      <w:pPr>
        <w:ind w:left="200" w:right="219" w:firstLine="1296"/>
        <w:spacing w:after="0" w:line="239" w:lineRule="auto"/>
        <w:rPr>
          <w:sz w:val="20"/>
          <w:szCs w:val="20"/>
          <w:color w:val="auto"/>
        </w:rPr>
      </w:pPr>
      <w:r>
        <w:rPr>
          <w:rFonts w:ascii="Times New Roman" w:cs="Times New Roman" w:eastAsia="Times New Roman" w:hAnsi="Times New Roman"/>
          <w:sz w:val="20"/>
          <w:szCs w:val="20"/>
          <w:b w:val="1"/>
          <w:bCs w:val="1"/>
          <w:color w:val="auto"/>
        </w:rPr>
        <w:t>(b)            </w:t>
      </w:r>
      <w:r>
        <w:rPr>
          <w:rFonts w:ascii="Times New Roman" w:cs="Times New Roman" w:eastAsia="Times New Roman" w:hAnsi="Times New Roman"/>
          <w:sz w:val="20"/>
          <w:szCs w:val="20"/>
          <w:color w:val="auto"/>
        </w:rPr>
        <w:t>On each vesting date, and on or before the time you receive a distribution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shares underlying your Restricted Stock Units, and at any other time as reasonably requested by the Company in accordance with Applicable Law, you agree to make adequate provision for any sums required to satisfy the withholding obligations of the Company, the Employer or any Affiliate in connection with any Tax-Related Items that arise in connection with your RSU Award (the </w:t>
      </w:r>
      <w:r>
        <w:rPr>
          <w:rFonts w:ascii="Times New Roman" w:cs="Times New Roman" w:eastAsia="Times New Roman" w:hAnsi="Times New Roman"/>
          <w:sz w:val="20"/>
          <w:szCs w:val="20"/>
          <w:b w:val="1"/>
          <w:bCs w:val="1"/>
          <w:i w:val="1"/>
          <w:iCs w:val="1"/>
          <w:color w:val="auto"/>
        </w:rPr>
        <w:t>“Withholding Taxes”</w:t>
      </w:r>
      <w:r>
        <w:rPr>
          <w:rFonts w:ascii="Times New Roman" w:cs="Times New Roman" w:eastAsia="Times New Roman" w:hAnsi="Times New Roman"/>
          <w:sz w:val="20"/>
          <w:szCs w:val="20"/>
          <w:color w:val="auto"/>
        </w:rPr>
        <w:t xml:space="preserve">). The Company shall arrange a mandatory sale (on your behalf pursuant to your authorization under this section and without further consent) of the shares of Common Stock issued in settlement upon the vesting of your Restricted Stock Units in an amount necessary to satisfy the Withholding Taxes and shall satisfy the Withholding Taxes by withholding from the proceeds of such sale (the </w:t>
      </w:r>
      <w:r>
        <w:rPr>
          <w:rFonts w:ascii="Times New Roman" w:cs="Times New Roman" w:eastAsia="Times New Roman" w:hAnsi="Times New Roman"/>
          <w:sz w:val="20"/>
          <w:szCs w:val="20"/>
          <w:b w:val="1"/>
          <w:bCs w:val="1"/>
          <w:i w:val="1"/>
          <w:iCs w:val="1"/>
          <w:color w:val="auto"/>
        </w:rPr>
        <w:t>“Mandatory Sell to Cover”</w:t>
      </w:r>
      <w:r>
        <w:rPr>
          <w:rFonts w:ascii="Times New Roman" w:cs="Times New Roman" w:eastAsia="Times New Roman" w:hAnsi="Times New Roman"/>
          <w:sz w:val="20"/>
          <w:szCs w:val="20"/>
          <w:color w:val="auto"/>
        </w:rPr>
        <w:t xml:space="preserve">). You hereby acknowledge and agree that the Company shall have the authority to administer the Mandatory Sell to Cover arrangement in its sole discretion with a registered broker-dealer that is a member of the Financial Industry Regulatory Authority (a </w:t>
      </w:r>
      <w:r>
        <w:rPr>
          <w:rFonts w:ascii="Times New Roman" w:cs="Times New Roman" w:eastAsia="Times New Roman" w:hAnsi="Times New Roman"/>
          <w:sz w:val="20"/>
          <w:szCs w:val="20"/>
          <w:b w:val="1"/>
          <w:bCs w:val="1"/>
          <w:i w:val="1"/>
          <w:iCs w:val="1"/>
          <w:color w:val="auto"/>
        </w:rPr>
        <w:t>“FINRA Dealer”</w:t>
      </w:r>
      <w:r>
        <w:rPr>
          <w:rFonts w:ascii="Times New Roman" w:cs="Times New Roman" w:eastAsia="Times New Roman" w:hAnsi="Times New Roman"/>
          <w:sz w:val="20"/>
          <w:szCs w:val="20"/>
          <w:color w:val="auto"/>
        </w:rPr>
        <w:t xml:space="preserve">) as the Company may select as the agent (the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who will sell on the open market at the then prevailing market price(s), as soon as practicable on or after each date on which your Restricted Stock Units vest, the number (rounded up to the next whole number) of the shares of Common Stock to be delivered to you in connection with the vesting of the Restricted Stock Units sufficient to generate proceeds to cover (A) the Withholding Taxes that you are required to pay pursuant to the Plan and this Agreement as a result of the vesting of the Restricted Stock Units (or shares being issued thereunder, as applicable) and (B) all applicable fees and commissions due to, or required to be collected by, the Agent with respect thereto any remaining funds shall be remitted to you.  </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color w:val="auto"/>
        </w:rPr>
        <w:t>If, for any reason, such Mandatory Sell to Cover does not result in sufficient</w:t>
      </w:r>
    </w:p>
    <w:p>
      <w:pPr>
        <w:ind w:left="200"/>
        <w:spacing w:after="0"/>
        <w:rPr>
          <w:sz w:val="20"/>
          <w:szCs w:val="20"/>
          <w:color w:val="auto"/>
        </w:rPr>
      </w:pPr>
      <w:r>
        <w:rPr>
          <w:rFonts w:ascii="Times New Roman" w:cs="Times New Roman" w:eastAsia="Times New Roman" w:hAnsi="Times New Roman"/>
          <w:sz w:val="19"/>
          <w:szCs w:val="19"/>
          <w:color w:val="auto"/>
        </w:rPr>
        <w:t>proceeds to satisfy the Withholding Taxes, the Company or an Affiliate may, in its sole discretion, satisfy all</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or any portion of the Withholding Taxes relating to your RSU Award by any of the following means or by a</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combination of such means: (i) withholding from any compensation otherwise payable to you by the</w:t>
      </w:r>
    </w:p>
    <w:p>
      <w:pPr>
        <w:ind w:left="200"/>
        <w:spacing w:after="0"/>
        <w:rPr>
          <w:sz w:val="20"/>
          <w:szCs w:val="20"/>
          <w:color w:val="auto"/>
        </w:rPr>
      </w:pPr>
      <w:r>
        <w:rPr>
          <w:rFonts w:ascii="Times New Roman" w:cs="Times New Roman" w:eastAsia="Times New Roman" w:hAnsi="Times New Roman"/>
          <w:sz w:val="19"/>
          <w:szCs w:val="19"/>
          <w:color w:val="auto"/>
        </w:rPr>
        <w:t>Company or the Employer; (ii) causing you to tender a cash payment (which may be in the form of a check,</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electronic wire transfer or other method permitted by the Company); or (iii) withholding shares of Common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Stock from the shares of Common Stock issued or otherwise issuable to you in connection with your</w:t>
      </w:r>
    </w:p>
    <w:p>
      <w:pPr>
        <w:ind w:left="200"/>
        <w:spacing w:after="0"/>
        <w:rPr>
          <w:sz w:val="20"/>
          <w:szCs w:val="20"/>
          <w:color w:val="auto"/>
        </w:rPr>
      </w:pPr>
      <w:r>
        <w:rPr>
          <w:rFonts w:ascii="Times New Roman" w:cs="Times New Roman" w:eastAsia="Times New Roman" w:hAnsi="Times New Roman"/>
          <w:sz w:val="19"/>
          <w:szCs w:val="19"/>
          <w:color w:val="auto"/>
        </w:rPr>
        <w:t>Restricted Stock Units with a fair market value (measured as of the date shares of Common Stock are issued</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to you) equal to the amount of such Withholding Taxes; provided, however, that the number of such shares</w:t>
      </w:r>
    </w:p>
    <w:p>
      <w:pPr>
        <w:ind w:left="200"/>
        <w:spacing w:after="0"/>
        <w:rPr>
          <w:sz w:val="20"/>
          <w:szCs w:val="20"/>
          <w:color w:val="auto"/>
        </w:rPr>
      </w:pPr>
      <w:r>
        <w:rPr>
          <w:rFonts w:ascii="Times New Roman" w:cs="Times New Roman" w:eastAsia="Times New Roman" w:hAnsi="Times New Roman"/>
          <w:sz w:val="20"/>
          <w:szCs w:val="20"/>
          <w:color w:val="auto"/>
        </w:rPr>
        <w:t>of Common Stock so withheld will not exceed the amount necessary to satisfy the Company’s required tax</w:t>
      </w:r>
    </w:p>
    <w:p>
      <w:pPr>
        <w:ind w:left="200"/>
        <w:spacing w:after="0"/>
        <w:rPr>
          <w:sz w:val="20"/>
          <w:szCs w:val="20"/>
          <w:color w:val="auto"/>
        </w:rPr>
      </w:pPr>
      <w:r>
        <w:rPr>
          <w:rFonts w:ascii="Times New Roman" w:cs="Times New Roman" w:eastAsia="Times New Roman" w:hAnsi="Times New Roman"/>
          <w:sz w:val="20"/>
          <w:szCs w:val="20"/>
          <w:color w:val="auto"/>
        </w:rPr>
        <w:t>withholding obligations using the maximum statutory withholding rates for federal, state, local and foreign</w:t>
      </w:r>
    </w:p>
    <w:p>
      <w:pPr>
        <w:ind w:left="200"/>
        <w:spacing w:after="0"/>
        <w:rPr>
          <w:sz w:val="20"/>
          <w:szCs w:val="20"/>
          <w:color w:val="auto"/>
        </w:rPr>
      </w:pPr>
      <w:r>
        <w:rPr>
          <w:rFonts w:ascii="Times New Roman" w:cs="Times New Roman" w:eastAsia="Times New Roman" w:hAnsi="Times New Roman"/>
          <w:sz w:val="20"/>
          <w:szCs w:val="20"/>
          <w:color w:val="auto"/>
        </w:rPr>
        <w:t>tax purposes, including payroll taxes, that are applicable to supplemental taxable income; and to the extent</w:t>
      </w:r>
    </w:p>
    <w:p>
      <w:pPr>
        <w:ind w:left="200"/>
        <w:spacing w:after="0"/>
        <w:rPr>
          <w:sz w:val="20"/>
          <w:szCs w:val="20"/>
          <w:color w:val="auto"/>
        </w:rPr>
      </w:pPr>
      <w:r>
        <w:rPr>
          <w:rFonts w:ascii="Times New Roman" w:cs="Times New Roman" w:eastAsia="Times New Roman" w:hAnsi="Times New Roman"/>
          <w:sz w:val="20"/>
          <w:szCs w:val="20"/>
          <w:color w:val="auto"/>
        </w:rPr>
        <w:t>necessary to qualify for an exemption from application of Section 16(b) of the Exchange Act, if applicable,</w:t>
      </w:r>
    </w:p>
    <w:p>
      <w:pPr>
        <w:ind w:left="200"/>
        <w:spacing w:after="0"/>
        <w:rPr>
          <w:sz w:val="20"/>
          <w:szCs w:val="20"/>
          <w:color w:val="auto"/>
        </w:rPr>
      </w:pPr>
      <w:r>
        <w:rPr>
          <w:rFonts w:ascii="Times New Roman" w:cs="Times New Roman" w:eastAsia="Times New Roman" w:hAnsi="Times New Roman"/>
          <w:sz w:val="20"/>
          <w:szCs w:val="20"/>
          <w:color w:val="auto"/>
        </w:rPr>
        <w:t>such share withholding procedure will be subject to the express prior approval of the Company’s Board or</w:t>
      </w:r>
    </w:p>
    <w:p>
      <w:pPr>
        <w:ind w:left="200"/>
        <w:spacing w:after="0"/>
        <w:rPr>
          <w:sz w:val="20"/>
          <w:szCs w:val="20"/>
          <w:color w:val="auto"/>
        </w:rPr>
      </w:pPr>
      <w:r>
        <w:rPr>
          <w:rFonts w:ascii="Times New Roman" w:cs="Times New Roman" w:eastAsia="Times New Roman" w:hAnsi="Times New Roman"/>
          <w:sz w:val="20"/>
          <w:szCs w:val="20"/>
          <w:color w:val="auto"/>
        </w:rPr>
        <w:t>Compensation Committee.</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60" w:name="page261"/>
    <w:bookmarkEnd w:id="260"/>
    <w:p>
      <w:pPr>
        <w:ind w:left="1500"/>
        <w:spacing w:after="0"/>
        <w:rPr>
          <w:sz w:val="20"/>
          <w:szCs w:val="20"/>
          <w:color w:val="auto"/>
        </w:rPr>
      </w:pPr>
      <w:r>
        <w:rPr>
          <w:rFonts w:ascii="Times New Roman" w:cs="Times New Roman" w:eastAsia="Times New Roman" w:hAnsi="Times New Roman"/>
          <w:sz w:val="20"/>
          <w:szCs w:val="20"/>
          <w:b w:val="1"/>
          <w:bCs w:val="1"/>
          <w:color w:val="auto"/>
        </w:rPr>
        <w:t>(d)            </w:t>
      </w:r>
      <w:r>
        <w:rPr>
          <w:rFonts w:ascii="Times New Roman" w:cs="Times New Roman" w:eastAsia="Times New Roman" w:hAnsi="Times New Roman"/>
          <w:sz w:val="20"/>
          <w:szCs w:val="20"/>
          <w:color w:val="auto"/>
        </w:rPr>
        <w:t>Unless the tax withholding obligations of the Company and/or any Affiliate with</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respect to the Tax-Related Items are satisfied, the Company shall have no obligation to deliver to you any</w:t>
      </w:r>
    </w:p>
    <w:p>
      <w:pPr>
        <w:ind w:left="200"/>
        <w:spacing w:after="0"/>
        <w:rPr>
          <w:sz w:val="20"/>
          <w:szCs w:val="20"/>
          <w:color w:val="auto"/>
        </w:rPr>
      </w:pPr>
      <w:r>
        <w:rPr>
          <w:rFonts w:ascii="Times New Roman" w:cs="Times New Roman" w:eastAsia="Times New Roman" w:hAnsi="Times New Roman"/>
          <w:sz w:val="20"/>
          <w:szCs w:val="20"/>
          <w:color w:val="auto"/>
        </w:rPr>
        <w:t>Common Stock.</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(e)            </w:t>
      </w:r>
      <w:r>
        <w:rPr>
          <w:rFonts w:ascii="Times New Roman" w:cs="Times New Roman" w:eastAsia="Times New Roman" w:hAnsi="Times New Roman"/>
          <w:sz w:val="20"/>
          <w:szCs w:val="20"/>
          <w:color w:val="auto"/>
        </w:rPr>
        <w:t>In the event the Company’s obligation to withhold arises prior to the delivery to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Common Stock or it is determined after the delivery of Common Stock to you that the amount of the Tax-Related Items withholding obligation was greater than the amount withheld by the Company or your Employer, you agree to indemnify and hold the Company and your Employer harmless from any failure by the Company or your Employer to withhold the proper amount.  </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color w:val="auto"/>
        </w:rPr>
        <w:t>(f)            </w:t>
      </w:r>
      <w:r>
        <w:rPr>
          <w:rFonts w:ascii="Times New Roman" w:cs="Times New Roman" w:eastAsia="Times New Roman" w:hAnsi="Times New Roman"/>
          <w:sz w:val="19"/>
          <w:szCs w:val="19"/>
          <w:color w:val="auto"/>
        </w:rPr>
        <w:t>You acknowledge that the Mandatory Sell to Cover is imposed by the Company on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you pursuant to the terms of the RSU Award.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(g)            </w:t>
      </w:r>
      <w:r>
        <w:rPr>
          <w:rFonts w:ascii="Times New Roman" w:cs="Times New Roman" w:eastAsia="Times New Roman" w:hAnsi="Times New Roman"/>
          <w:sz w:val="20"/>
          <w:szCs w:val="20"/>
          <w:color w:val="auto"/>
        </w:rPr>
        <w:t>The Company may withhold or account for Tax-Related Items by considering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minimum statutory withholding amounts, or other applicable withholding rates, including maximum applicable rates in your jurisdiction(s). If the maximum rate is used, any over-withheld amount may be refunded to you in cash by the Company or Employer (with no entitlement to the equivalent in shares of Common Stock), or if not refunded, you may seek a refund from the local tax authorities. You must pay to the Company and/or the Employer any amount of Tax-Related Items that the Company and/or the Employer may be required to withhold or account for as a result of your participation in the Plan that cannot be satisfied by the means previously described.  </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5.             D</w:t>
      </w:r>
      <w:r>
        <w:rPr>
          <w:rFonts w:ascii="Times New Roman" w:cs="Times New Roman" w:eastAsia="Times New Roman" w:hAnsi="Times New Roman"/>
          <w:sz w:val="13"/>
          <w:szCs w:val="13"/>
          <w:b w:val="1"/>
          <w:bCs w:val="1"/>
          <w:color w:val="auto"/>
        </w:rPr>
        <w:t>ate of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ssuance</w:t>
      </w:r>
      <w:r>
        <w:rPr>
          <w:rFonts w:ascii="Times New Roman" w:cs="Times New Roman" w:eastAsia="Times New Roman" w:hAnsi="Times New Roman"/>
          <w:sz w:val="20"/>
          <w:szCs w:val="20"/>
          <w:b w:val="1"/>
          <w:bCs w:val="1"/>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1296"/>
        <w:spacing w:after="0" w:line="239" w:lineRule="auto"/>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The issuance of shares in respect of the Restricted Stock Units is intended to comply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above, and subject to any different provisions in the Grant Notice). Each issuance date determined by this paragraph is referred to as an </w:t>
      </w:r>
      <w:r>
        <w:rPr>
          <w:rFonts w:ascii="Times New Roman" w:cs="Times New Roman" w:eastAsia="Times New Roman" w:hAnsi="Times New Roman"/>
          <w:sz w:val="20"/>
          <w:szCs w:val="20"/>
          <w:b w:val="1"/>
          <w:bCs w:val="1"/>
          <w:i w:val="1"/>
          <w:iCs w:val="1"/>
          <w:color w:val="auto"/>
        </w:rPr>
        <w:t>“Original Issuance Date.”</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1296"/>
        <w:spacing w:after="0" w:line="252" w:lineRule="auto"/>
        <w:rPr>
          <w:sz w:val="20"/>
          <w:szCs w:val="20"/>
          <w:color w:val="auto"/>
        </w:rPr>
      </w:pPr>
      <w:r>
        <w:rPr>
          <w:rFonts w:ascii="Times New Roman" w:cs="Times New Roman" w:eastAsia="Times New Roman" w:hAnsi="Times New Roman"/>
          <w:sz w:val="19"/>
          <w:szCs w:val="19"/>
          <w:b w:val="1"/>
          <w:bCs w:val="1"/>
          <w:color w:val="auto"/>
        </w:rPr>
        <w:t>(b)            </w:t>
      </w:r>
      <w:r>
        <w:rPr>
          <w:rFonts w:ascii="Times New Roman" w:cs="Times New Roman" w:eastAsia="Times New Roman" w:hAnsi="Times New Roman"/>
          <w:sz w:val="19"/>
          <w:szCs w:val="19"/>
          <w:color w:val="auto"/>
        </w:rPr>
        <w:t>Notwithstanding the foregoing, if (i) selling shares of the Company’s Common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 the public market on the Original Issuance Date to satisfy your tax withholding obligation in accordance with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of this Agreement is prohibited for any reason, and (ii) the Company elects not to instead satisfy its tax withholding obligations by withholding shares from your distribution, then such shares shall not be delivered on such Original Issuance Date and shall instead be delivered to you on the earliest of:</w:t>
      </w:r>
    </w:p>
    <w:p>
      <w:pPr>
        <w:spacing w:after="0" w:line="1" w:lineRule="exact"/>
        <w:rPr>
          <w:sz w:val="20"/>
          <w:szCs w:val="20"/>
          <w:color w:val="auto"/>
        </w:rPr>
      </w:pPr>
    </w:p>
    <w:p>
      <w:pPr>
        <w:ind w:left="200" w:right="219"/>
        <w:spacing w:after="0"/>
        <w:rPr>
          <w:sz w:val="20"/>
          <w:szCs w:val="20"/>
          <w:color w:val="auto"/>
        </w:rPr>
      </w:pPr>
      <w:r>
        <w:rPr>
          <w:rFonts w:ascii="Times New Roman" w:cs="Times New Roman" w:eastAsia="Times New Roman" w:hAnsi="Times New Roman"/>
          <w:sz w:val="20"/>
          <w:szCs w:val="20"/>
          <w:color w:val="auto"/>
        </w:rPr>
        <w:t>(1) the first date that you are not prohibited from selling shares of the Company’s Common Stock in the open market, or (2) such earlier date that the Company elects to satisfy its tax withholding obligation by withholding shares from your distribution; provided, however, that notwithstanding the foregoing, in no event will the shares be delivered to you any later than: (A) December 31 of the calendar year in which the Original Issuance Date occurs (that is, the last day of the taxable year in which the Original Issuance Date occurs), or (B) if and only if permitted in a manner that complies with Treasury Regulations Section 1.409A-1(b)(4), no later than the date that is the 15th day of the third calendar month of the applicable year following the year in which the shares of Common Stock are no longer subject to a “substantial risk of forfeiture” within the meaning of Treasury Regulations Section 1.409A-1(d). Delivery of the shares is intended to comply with the requirements for the short-term deferral exemption available under Treasury Regulations Section 1.409A-1(b)(4) and shall be construed and administered in such manner.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61" w:name="page262"/>
    <w:bookmarkEnd w:id="261"/>
    <w:p>
      <w:pPr>
        <w:ind w:left="1500"/>
        <w:spacing w:after="0"/>
        <w:rPr>
          <w:sz w:val="20"/>
          <w:szCs w:val="20"/>
          <w:color w:val="auto"/>
        </w:rPr>
      </w:pPr>
      <w:r>
        <w:rPr>
          <w:rFonts w:ascii="Times New Roman" w:cs="Times New Roman" w:eastAsia="Times New Roman" w:hAnsi="Times New Roman"/>
          <w:sz w:val="19"/>
          <w:szCs w:val="19"/>
          <w:b w:val="1"/>
          <w:bCs w:val="1"/>
          <w:color w:val="auto"/>
        </w:rPr>
        <w:t>(c)            </w:t>
      </w:r>
      <w:r>
        <w:rPr>
          <w:rFonts w:ascii="Times New Roman" w:cs="Times New Roman" w:eastAsia="Times New Roman" w:hAnsi="Times New Roman"/>
          <w:sz w:val="19"/>
          <w:szCs w:val="19"/>
          <w:color w:val="auto"/>
        </w:rPr>
        <w:t>In addition and notwithstanding the foregoing, no shares of Common Stock issuable</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 xml:space="preserve">to you under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as a result of the vesting of one or more Restricted Stock Units will be delivered</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to you until any filings that may be required pursuant to the Hart-Scott-Rodino (</w:t>
      </w:r>
      <w:r>
        <w:rPr>
          <w:rFonts w:ascii="Times New Roman" w:cs="Times New Roman" w:eastAsia="Times New Roman" w:hAnsi="Times New Roman"/>
          <w:sz w:val="20"/>
          <w:szCs w:val="20"/>
          <w:b w:val="1"/>
          <w:bCs w:val="1"/>
          <w:i w:val="1"/>
          <w:iCs w:val="1"/>
          <w:color w:val="auto"/>
        </w:rPr>
        <w:t>“HSR”</w:t>
      </w:r>
      <w:r>
        <w:rPr>
          <w:rFonts w:ascii="Times New Roman" w:cs="Times New Roman" w:eastAsia="Times New Roman" w:hAnsi="Times New Roman"/>
          <w:sz w:val="20"/>
          <w:szCs w:val="20"/>
          <w:color w:val="auto"/>
        </w:rPr>
        <w:t>) Act in connection</w:t>
      </w:r>
    </w:p>
    <w:p>
      <w:pPr>
        <w:ind w:left="200"/>
        <w:spacing w:after="0"/>
        <w:rPr>
          <w:sz w:val="20"/>
          <w:szCs w:val="20"/>
          <w:color w:val="auto"/>
        </w:rPr>
      </w:pPr>
      <w:r>
        <w:rPr>
          <w:rFonts w:ascii="Times New Roman" w:cs="Times New Roman" w:eastAsia="Times New Roman" w:hAnsi="Times New Roman"/>
          <w:sz w:val="20"/>
          <w:szCs w:val="20"/>
          <w:color w:val="auto"/>
        </w:rPr>
        <w:t>with the issuance of such shares have been filed and any required waiting period under the HSR Act has</w:t>
      </w:r>
    </w:p>
    <w:p>
      <w:pPr>
        <w:ind w:left="200"/>
        <w:spacing w:after="0"/>
        <w:rPr>
          <w:sz w:val="20"/>
          <w:szCs w:val="20"/>
          <w:color w:val="auto"/>
        </w:rPr>
      </w:pPr>
      <w:r>
        <w:rPr>
          <w:rFonts w:ascii="Times New Roman" w:cs="Times New Roman" w:eastAsia="Times New Roman" w:hAnsi="Times New Roman"/>
          <w:sz w:val="20"/>
          <w:szCs w:val="20"/>
          <w:color w:val="auto"/>
        </w:rPr>
        <w:t xml:space="preserve">expired or been terminated (any such filings and/or waiting period required pursuant to HSR, the </w:t>
      </w:r>
      <w:r>
        <w:rPr>
          <w:rFonts w:ascii="Times New Roman" w:cs="Times New Roman" w:eastAsia="Times New Roman" w:hAnsi="Times New Roman"/>
          <w:sz w:val="20"/>
          <w:szCs w:val="20"/>
          <w:b w:val="1"/>
          <w:bCs w:val="1"/>
          <w:i w:val="1"/>
          <w:iCs w:val="1"/>
          <w:color w:val="auto"/>
        </w:rPr>
        <w:t>“HSR</w:t>
      </w:r>
    </w:p>
    <w:p>
      <w:pPr>
        <w:ind w:left="200"/>
        <w:spacing w:after="0"/>
        <w:rPr>
          <w:sz w:val="20"/>
          <w:szCs w:val="20"/>
          <w:color w:val="auto"/>
        </w:rPr>
      </w:pPr>
      <w:r>
        <w:rPr>
          <w:rFonts w:ascii="Times New Roman" w:cs="Times New Roman" w:eastAsia="Times New Roman" w:hAnsi="Times New Roman"/>
          <w:sz w:val="19"/>
          <w:szCs w:val="19"/>
          <w:b w:val="1"/>
          <w:bCs w:val="1"/>
          <w:i w:val="1"/>
          <w:iCs w:val="1"/>
          <w:color w:val="auto"/>
        </w:rPr>
        <w:t>Requirements”</w:t>
      </w:r>
      <w:r>
        <w:rPr>
          <w:rFonts w:ascii="Times New Roman" w:cs="Times New Roman" w:eastAsia="Times New Roman" w:hAnsi="Times New Roman"/>
          <w:sz w:val="19"/>
          <w:szCs w:val="19"/>
          <w:color w:val="auto"/>
        </w:rPr>
        <w:t>). If the HSR Requirements apply to the issuance of any shares of Common Stock issuable to</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 xml:space="preserve">you under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upon vesting of one or more Restricted Stock Units, such shares of Common Stock</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will not be issued on the Original Issuance Date and will instead be issued on the first business day on or</w:t>
      </w:r>
    </w:p>
    <w:p>
      <w:pPr>
        <w:ind w:left="200"/>
        <w:spacing w:after="0"/>
        <w:rPr>
          <w:sz w:val="20"/>
          <w:szCs w:val="20"/>
          <w:color w:val="auto"/>
        </w:rPr>
      </w:pPr>
      <w:r>
        <w:rPr>
          <w:rFonts w:ascii="Times New Roman" w:cs="Times New Roman" w:eastAsia="Times New Roman" w:hAnsi="Times New Roman"/>
          <w:sz w:val="20"/>
          <w:szCs w:val="20"/>
          <w:color w:val="auto"/>
        </w:rPr>
        <w:t>following the date when all such HSR Requirements are satisfied and when you are permitted to sell shares</w:t>
      </w:r>
    </w:p>
    <w:p>
      <w:pPr>
        <w:ind w:left="200"/>
        <w:spacing w:after="0"/>
        <w:rPr>
          <w:sz w:val="20"/>
          <w:szCs w:val="20"/>
          <w:color w:val="auto"/>
        </w:rPr>
      </w:pPr>
      <w:r>
        <w:rPr>
          <w:rFonts w:ascii="Times New Roman" w:cs="Times New Roman" w:eastAsia="Times New Roman" w:hAnsi="Times New Roman"/>
          <w:sz w:val="20"/>
          <w:szCs w:val="20"/>
          <w:color w:val="auto"/>
        </w:rPr>
        <w:t>of Common Stock on an established stock exchange or stock market, as determined by the Company in</w:t>
      </w:r>
    </w:p>
    <w:p>
      <w:pPr>
        <w:ind w:left="200"/>
        <w:spacing w:after="0"/>
        <w:rPr>
          <w:sz w:val="20"/>
          <w:szCs w:val="20"/>
          <w:color w:val="auto"/>
        </w:rPr>
      </w:pPr>
      <w:r>
        <w:rPr>
          <w:rFonts w:ascii="Times New Roman" w:cs="Times New Roman" w:eastAsia="Times New Roman" w:hAnsi="Times New Roman"/>
          <w:sz w:val="20"/>
          <w:szCs w:val="20"/>
          <w:color w:val="auto"/>
        </w:rPr>
        <w:t>accordance with the Company’s then-effective policy on trading in Company securities. Notwithstanding</w:t>
      </w:r>
    </w:p>
    <w:p>
      <w:pPr>
        <w:ind w:left="200"/>
        <w:spacing w:after="0"/>
        <w:rPr>
          <w:sz w:val="20"/>
          <w:szCs w:val="20"/>
          <w:color w:val="auto"/>
        </w:rPr>
      </w:pPr>
      <w:r>
        <w:rPr>
          <w:rFonts w:ascii="Times New Roman" w:cs="Times New Roman" w:eastAsia="Times New Roman" w:hAnsi="Times New Roman"/>
          <w:sz w:val="19"/>
          <w:szCs w:val="19"/>
          <w:color w:val="auto"/>
        </w:rPr>
        <w:t xml:space="preserve">the foregoing, the issuance date for any shares of Common Stock delayed under this </w:t>
      </w:r>
      <w:r>
        <w:rPr>
          <w:rFonts w:ascii="Times New Roman" w:cs="Times New Roman" w:eastAsia="Times New Roman" w:hAnsi="Times New Roman"/>
          <w:sz w:val="19"/>
          <w:szCs w:val="19"/>
          <w:u w:val="single" w:color="auto"/>
          <w:color w:val="auto"/>
        </w:rPr>
        <w:t>Section 5(c) </w:t>
      </w:r>
      <w:r>
        <w:rPr>
          <w:rFonts w:ascii="Times New Roman" w:cs="Times New Roman" w:eastAsia="Times New Roman" w:hAnsi="Times New Roman"/>
          <w:sz w:val="19"/>
          <w:szCs w:val="19"/>
          <w:color w:val="auto"/>
        </w:rPr>
        <w:t>shall in no</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event be later than December 31 of the calendar year in which the Original Issuance Date occurs (that is,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last day of your taxable year in which the Original Issuance Date occurs), unless a later issuance date is</w:t>
      </w:r>
    </w:p>
    <w:p>
      <w:pPr>
        <w:ind w:left="200"/>
        <w:spacing w:after="0"/>
        <w:rPr>
          <w:sz w:val="20"/>
          <w:szCs w:val="20"/>
          <w:color w:val="auto"/>
        </w:rPr>
      </w:pPr>
      <w:r>
        <w:rPr>
          <w:rFonts w:ascii="Times New Roman" w:cs="Times New Roman" w:eastAsia="Times New Roman" w:hAnsi="Times New Roman"/>
          <w:sz w:val="20"/>
          <w:szCs w:val="20"/>
          <w:color w:val="auto"/>
        </w:rPr>
        <w:t>permitted without incurring adverse tax consequences under Section 409A of the Code or other Applicable</w:t>
      </w:r>
    </w:p>
    <w:p>
      <w:pPr>
        <w:ind w:left="200"/>
        <w:spacing w:after="0"/>
        <w:rPr>
          <w:sz w:val="20"/>
          <w:szCs w:val="20"/>
          <w:color w:val="auto"/>
        </w:rPr>
      </w:pPr>
      <w:r>
        <w:rPr>
          <w:rFonts w:ascii="Times New Roman" w:cs="Times New Roman" w:eastAsia="Times New Roman" w:hAnsi="Times New Roman"/>
          <w:sz w:val="20"/>
          <w:szCs w:val="20"/>
          <w:color w:val="auto"/>
        </w:rPr>
        <w:t>Law.</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20"/>
          <w:szCs w:val="20"/>
          <w:b w:val="1"/>
          <w:bCs w:val="1"/>
          <w:color w:val="auto"/>
        </w:rPr>
        <w:t>(d)            </w:t>
      </w:r>
      <w:r>
        <w:rPr>
          <w:rFonts w:ascii="Times New Roman" w:cs="Times New Roman" w:eastAsia="Times New Roman" w:hAnsi="Times New Roman"/>
          <w:sz w:val="20"/>
          <w:szCs w:val="20"/>
          <w:color w:val="auto"/>
        </w:rPr>
        <w:t>To the extent the RSU Award is a Non-Exempt RSU Award, the provisions of</w:t>
      </w:r>
    </w:p>
    <w:p>
      <w:pPr>
        <w:ind w:left="200"/>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Plan shall apply.</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6.             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in the Plan, your RSU Award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transferable, except by will or by the applicable laws of descent and distribution  </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7.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RSU Award is subject to the terms of any agreement</w:t>
      </w:r>
    </w:p>
    <w:p>
      <w:pPr>
        <w:ind w:left="200"/>
        <w:spacing w:after="0"/>
        <w:rPr>
          <w:sz w:val="20"/>
          <w:szCs w:val="20"/>
          <w:color w:val="auto"/>
        </w:rPr>
      </w:pPr>
      <w:r>
        <w:rPr>
          <w:rFonts w:ascii="Times New Roman" w:cs="Times New Roman" w:eastAsia="Times New Roman" w:hAnsi="Times New Roman"/>
          <w:sz w:val="19"/>
          <w:szCs w:val="19"/>
          <w:color w:val="auto"/>
        </w:rPr>
        <w:t>governing a Corporate Transaction involving the Company, including, without limitation, a provision for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appointment of a stockholder representative that is authorized to act on your behalf with respect to any</w:t>
      </w:r>
    </w:p>
    <w:p>
      <w:pPr>
        <w:ind w:left="200"/>
        <w:spacing w:after="0"/>
        <w:rPr>
          <w:sz w:val="20"/>
          <w:szCs w:val="20"/>
          <w:color w:val="auto"/>
        </w:rPr>
      </w:pPr>
      <w:r>
        <w:rPr>
          <w:rFonts w:ascii="Times New Roman" w:cs="Times New Roman" w:eastAsia="Times New Roman" w:hAnsi="Times New Roman"/>
          <w:sz w:val="20"/>
          <w:szCs w:val="20"/>
          <w:color w:val="auto"/>
        </w:rPr>
        <w:t>escrow, indemnities and any contingent consideration.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8.             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20"/>
          <w:szCs w:val="20"/>
          <w:color w:val="auto"/>
        </w:rPr>
        <w:t>. As a condition to accepting the RSU Award, you hereby (a) agree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9.             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color w:val="auto"/>
        </w:rPr>
        <w:t>. If any part of this Agreement or the Plan is declared by any court or</w:t>
      </w:r>
    </w:p>
    <w:p>
      <w:pPr>
        <w:ind w:left="200"/>
        <w:spacing w:after="0"/>
        <w:rPr>
          <w:sz w:val="20"/>
          <w:szCs w:val="20"/>
          <w:color w:val="auto"/>
        </w:rPr>
      </w:pPr>
      <w:r>
        <w:rPr>
          <w:rFonts w:ascii="Times New Roman" w:cs="Times New Roman" w:eastAsia="Times New Roman" w:hAnsi="Times New Roman"/>
          <w:sz w:val="20"/>
          <w:szCs w:val="20"/>
          <w:color w:val="auto"/>
        </w:rPr>
        <w:t>governmental authority to be unlawful or invalid, such unlawfulness or invalidity will not invalidate any</w:t>
      </w:r>
    </w:p>
    <w:p>
      <w:pPr>
        <w:ind w:left="200"/>
        <w:spacing w:after="0"/>
        <w:rPr>
          <w:sz w:val="20"/>
          <w:szCs w:val="20"/>
          <w:color w:val="auto"/>
        </w:rPr>
      </w:pPr>
      <w:r>
        <w:rPr>
          <w:rFonts w:ascii="Times New Roman" w:cs="Times New Roman" w:eastAsia="Times New Roman" w:hAnsi="Times New Roman"/>
          <w:sz w:val="19"/>
          <w:szCs w:val="19"/>
          <w:color w:val="auto"/>
        </w:rPr>
        <w:t>portion of this Agreement or the Plan not declared to be unlawful or invalid. Any Section of this Agreement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(or part of such a Section) so declared to be unlawful or invalid will, if possible, be construed in a manner</w:t>
      </w:r>
    </w:p>
    <w:p>
      <w:pPr>
        <w:ind w:left="200"/>
        <w:spacing w:after="0"/>
        <w:rPr>
          <w:sz w:val="20"/>
          <w:szCs w:val="20"/>
          <w:color w:val="auto"/>
        </w:rPr>
      </w:pPr>
      <w:r>
        <w:rPr>
          <w:rFonts w:ascii="Times New Roman" w:cs="Times New Roman" w:eastAsia="Times New Roman" w:hAnsi="Times New Roman"/>
          <w:sz w:val="20"/>
          <w:szCs w:val="20"/>
          <w:color w:val="auto"/>
        </w:rPr>
        <w:t>which will give effect to the terms of such Section or part of a Section to the fullest extent possible while</w:t>
      </w:r>
    </w:p>
    <w:p>
      <w:pPr>
        <w:ind w:left="200"/>
        <w:spacing w:after="0"/>
        <w:rPr>
          <w:sz w:val="20"/>
          <w:szCs w:val="20"/>
          <w:color w:val="auto"/>
        </w:rPr>
      </w:pPr>
      <w:r>
        <w:rPr>
          <w:rFonts w:ascii="Times New Roman" w:cs="Times New Roman" w:eastAsia="Times New Roman" w:hAnsi="Times New Roman"/>
          <w:sz w:val="20"/>
          <w:szCs w:val="20"/>
          <w:color w:val="auto"/>
        </w:rPr>
        <w:t>remaining lawful and valid.</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10.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hereby acknowledge receipt of or the right to receive a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the information required by Rule 428(b)(1) promulgated under the Securities Act, which includes the Prospectus. In addition, you acknowledge receipt of the Company’s Trading Policy.  </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11.           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have questions regarding these or any other terms and conditions</w:t>
      </w:r>
    </w:p>
    <w:p>
      <w:pPr>
        <w:ind w:left="200"/>
        <w:spacing w:after="0"/>
        <w:rPr>
          <w:sz w:val="20"/>
          <w:szCs w:val="20"/>
          <w:color w:val="auto"/>
        </w:rPr>
      </w:pPr>
      <w:r>
        <w:rPr>
          <w:rFonts w:ascii="Times New Roman" w:cs="Times New Roman" w:eastAsia="Times New Roman" w:hAnsi="Times New Roman"/>
          <w:sz w:val="20"/>
          <w:szCs w:val="20"/>
          <w:color w:val="auto"/>
        </w:rPr>
        <w:t>applicable to your RSU Award, including a summary of the applicable federal income tax consequences</w:t>
      </w:r>
    </w:p>
    <w:p>
      <w:pPr>
        <w:ind w:left="200"/>
        <w:spacing w:after="0"/>
        <w:rPr>
          <w:sz w:val="20"/>
          <w:szCs w:val="20"/>
          <w:color w:val="auto"/>
        </w:rPr>
      </w:pPr>
      <w:r>
        <w:rPr>
          <w:rFonts w:ascii="Times New Roman" w:cs="Times New Roman" w:eastAsia="Times New Roman" w:hAnsi="Times New Roman"/>
          <w:sz w:val="20"/>
          <w:szCs w:val="20"/>
          <w:color w:val="auto"/>
        </w:rPr>
        <w:t>please see the Prospectus.</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62" w:name="page263"/>
    <w:bookmarkEnd w:id="262"/>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63" w:name="page264"/>
    <w:bookmarkEnd w:id="263"/>
    <w:p>
      <w:pPr>
        <w:jc w:val="right"/>
        <w:ind w:right="219"/>
        <w:spacing w:after="0"/>
        <w:rPr>
          <w:sz w:val="20"/>
          <w:szCs w:val="20"/>
          <w:color w:val="auto"/>
        </w:rPr>
      </w:pPr>
      <w:r>
        <w:rPr>
          <w:rFonts w:ascii="Times New Roman" w:cs="Times New Roman" w:eastAsia="Times New Roman" w:hAnsi="Times New Roman"/>
          <w:sz w:val="20"/>
          <w:szCs w:val="20"/>
          <w:i w:val="1"/>
          <w:iCs w:val="1"/>
          <w:color w:val="auto"/>
        </w:rPr>
        <w:t>Non-Employee Director RSU Package</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RSU AWARD GRANT NOTICE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has awarded to you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w:t>
      </w:r>
    </w:p>
    <w:p>
      <w:pPr>
        <w:ind w:left="200"/>
        <w:spacing w:after="0"/>
        <w:rPr>
          <w:sz w:val="20"/>
          <w:szCs w:val="20"/>
          <w:color w:val="auto"/>
        </w:rPr>
      </w:pPr>
      <w:r>
        <w:rPr>
          <w:rFonts w:ascii="Times New Roman" w:cs="Times New Roman" w:eastAsia="Times New Roman" w:hAnsi="Times New Roman"/>
          <w:sz w:val="20"/>
          <w:szCs w:val="20"/>
          <w:color w:val="auto"/>
        </w:rPr>
        <w:t>number of restricted stock units specified and on the terms set forth below in consideration of your services</w:t>
      </w:r>
    </w:p>
    <w:p>
      <w:pPr>
        <w:ind w:left="20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i w:val="1"/>
          <w:iCs w:val="1"/>
          <w:color w:val="auto"/>
        </w:rPr>
        <w:t>“RSU Award”</w:t>
      </w:r>
      <w:r>
        <w:rPr>
          <w:rFonts w:ascii="Times New Roman" w:cs="Times New Roman" w:eastAsia="Times New Roman" w:hAnsi="Times New Roman"/>
          <w:sz w:val="19"/>
          <w:szCs w:val="19"/>
          <w:color w:val="auto"/>
        </w:rPr>
        <w:t>). Your RSU Award is subject to all of the terms and conditions as set forth herein and in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the Company’s Amended and Restated 2022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Award Agreement</w:t>
      </w:r>
    </w:p>
    <w:p>
      <w:pPr>
        <w:ind w:left="20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are attached hereto and incorporated herein in their entirety. Capitalized terms</w:t>
      </w:r>
    </w:p>
    <w:p>
      <w:pPr>
        <w:ind w:left="200"/>
        <w:spacing w:after="0"/>
        <w:rPr>
          <w:sz w:val="20"/>
          <w:szCs w:val="20"/>
          <w:color w:val="auto"/>
        </w:rPr>
      </w:pPr>
      <w:r>
        <w:rPr>
          <w:rFonts w:ascii="Times New Roman" w:cs="Times New Roman" w:eastAsia="Times New Roman" w:hAnsi="Times New Roman"/>
          <w:sz w:val="20"/>
          <w:szCs w:val="20"/>
          <w:color w:val="auto"/>
        </w:rPr>
        <w:t>not explicitly defined herein but defined in the Plan or the Agreement shall have the meanings set forth in</w:t>
      </w:r>
    </w:p>
    <w:p>
      <w:pPr>
        <w:ind w:left="200"/>
        <w:spacing w:after="0"/>
        <w:rPr>
          <w:sz w:val="20"/>
          <w:szCs w:val="20"/>
          <w:color w:val="auto"/>
        </w:rPr>
      </w:pPr>
      <w:r>
        <w:rPr>
          <w:rFonts w:ascii="Times New Roman" w:cs="Times New Roman" w:eastAsia="Times New Roman" w:hAnsi="Times New Roman"/>
          <w:sz w:val="20"/>
          <w:szCs w:val="20"/>
          <w:color w:val="auto"/>
        </w:rPr>
        <w:t>the Plan or the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spacing w:after="0"/>
        <w:rPr>
          <w:sz w:val="20"/>
          <w:szCs w:val="20"/>
          <w:color w:val="auto"/>
        </w:rPr>
      </w:pPr>
      <w:r>
        <w:rPr>
          <w:rFonts w:ascii="Times New Roman" w:cs="Times New Roman" w:eastAsia="Times New Roman" w:hAnsi="Times New Roman"/>
          <w:sz w:val="20"/>
          <w:szCs w:val="20"/>
          <w:color w:val="auto"/>
        </w:rPr>
        <w:t>Participant:</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-140335</wp:posOffset>
            </wp:positionV>
            <wp:extent cx="21856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-132080</wp:posOffset>
            </wp:positionV>
            <wp:extent cx="21856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-132080</wp:posOffset>
            </wp:positionV>
            <wp:extent cx="21856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1">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 </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Schedule: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spacing w:after="0"/>
              <w:rPr>
                <w:sz w:val="22"/>
                <w:szCs w:val="22"/>
                <w:color w:val="auto"/>
              </w:rPr>
            </w:pPr>
          </w:p>
        </w:tc>
        <w:tc>
          <w:tcPr>
            <w:tcW w:w="5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2"/>
        </w:trPr>
        <w:tc>
          <w:tcPr>
            <w:tcW w:w="102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 </w:t>
            </w:r>
          </w:p>
        </w:tc>
        <w:tc>
          <w:tcPr>
            <w:tcW w:w="26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bl>
    <w:p>
      <w:pPr>
        <w:ind w:left="1500" w:right="239"/>
        <w:spacing w:after="0" w:line="239" w:lineRule="auto"/>
        <w:rPr>
          <w:sz w:val="20"/>
          <w:szCs w:val="20"/>
          <w:color w:val="auto"/>
        </w:rPr>
      </w:pPr>
      <w:r>
        <w:rPr>
          <w:rFonts w:ascii="Times New Roman" w:cs="Times New Roman" w:eastAsia="Times New Roman" w:hAnsi="Times New Roman"/>
          <w:sz w:val="20"/>
          <w:szCs w:val="20"/>
          <w:color w:val="auto"/>
        </w:rPr>
        <w:t>Notwithstanding the foregoing, vesting shall terminate upon the Participant’s termination of Continuous Service.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Issuance</w:t>
      </w:r>
      <w:r>
        <w:rPr>
          <w:sz w:val="20"/>
          <w:szCs w:val="20"/>
          <w:color w:val="auto"/>
        </w:rPr>
        <w:tab/>
      </w:r>
      <w:r>
        <w:rPr>
          <w:rFonts w:ascii="Times New Roman" w:cs="Times New Roman" w:eastAsia="Times New Roman" w:hAnsi="Times New Roman"/>
          <w:sz w:val="20"/>
          <w:szCs w:val="20"/>
          <w:color w:val="auto"/>
        </w:rPr>
        <w:t>One share of Common Stock will be issued for each restricted stock unit which vests at the</w:t>
      </w:r>
    </w:p>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Schedule:</w:t>
      </w:r>
      <w:r>
        <w:rPr>
          <w:sz w:val="20"/>
          <w:szCs w:val="20"/>
          <w:color w:val="auto"/>
        </w:rPr>
        <w:tab/>
      </w:r>
      <w:r>
        <w:rPr>
          <w:rFonts w:ascii="Times New Roman" w:cs="Times New Roman" w:eastAsia="Times New Roman" w:hAnsi="Times New Roman"/>
          <w:sz w:val="20"/>
          <w:szCs w:val="20"/>
          <w:color w:val="auto"/>
        </w:rPr>
        <w:t xml:space="preserve">time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the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spacing w:after="0"/>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your signature below or by electronic acceptance or authentication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form authorized by the Company, you understand and agree that:  </w:t>
      </w:r>
    </w:p>
    <w:p>
      <w:pPr>
        <w:spacing w:after="0" w:line="229" w:lineRule="exact"/>
        <w:rPr>
          <w:sz w:val="20"/>
          <w:szCs w:val="20"/>
          <w:color w:val="auto"/>
        </w:rPr>
      </w:pPr>
    </w:p>
    <w:p>
      <w:pPr>
        <w:jc w:val="both"/>
        <w:ind w:left="1500" w:right="219" w:hanging="643"/>
        <w:spacing w:after="0" w:line="239" w:lineRule="auto"/>
        <w:tabs>
          <w:tab w:leader="none" w:pos="150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RSU Award is governed by this RSU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80" w:right="219" w:hanging="656"/>
        <w:spacing w:after="0"/>
        <w:tabs>
          <w:tab w:leader="none" w:pos="158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778510</wp:posOffset>
            </wp:positionV>
            <wp:extent cx="545211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64" w:name="page265"/>
    <w:bookmarkEnd w:id="264"/>
    <w:tbl>
      <w:tblPr>
        <w:tblLayout w:type="fixed"/>
        <w:tblInd w:w="200" w:type="dxa"/>
        <w:tblCellMar>
          <w:top w:w="0" w:type="dxa"/>
          <w:left w:w="0" w:type="dxa"/>
          <w:bottom w:w="0" w:type="dxa"/>
          <w:right w:w="0" w:type="dxa"/>
        </w:tblCellMar>
      </w:tblPr>
      <w:tr>
        <w:trPr>
          <w:trHeight w:val="233"/>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THE COMPANY:</w:t>
            </w: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8"/>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2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80" w:type="dxa"/>
            <w:vAlign w:val="bottom"/>
            <w:vMerge w:val="continue"/>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414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nsert</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3"/>
                <w:szCs w:val="13"/>
                <w:color w:val="auto"/>
              </w:rPr>
              <w:t>ame</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1080" w:type="dxa"/>
            <w:vAlign w:val="bottom"/>
            <w:vMerge w:val="continue"/>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220" w:type="dxa"/>
            <w:vAlign w:val="bottom"/>
            <w:tcBorders>
              <w:bottom w:val="single" w:sz="8" w:color="auto"/>
            </w:tcBorders>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2"/>
              </w:rPr>
              <w:t>Date:</w:t>
            </w: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00" w:right="11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ATTACHMENTS: </w:t>
      </w:r>
      <w:r>
        <w:rPr>
          <w:rFonts w:ascii="Times New Roman" w:cs="Times New Roman" w:eastAsia="Times New Roman" w:hAnsi="Times New Roman"/>
          <w:sz w:val="20"/>
          <w:szCs w:val="20"/>
          <w:color w:val="auto"/>
        </w:rPr>
        <w:t>RSU Award Agreement, Amended and Restated 2022 Equity Incentive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AWARD AGREEMENT (RSU AWARD)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color w:val="auto"/>
        </w:rPr>
        <w:t xml:space="preserve">As reflected by your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xml:space="preserve">), MetaVia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has granted you a RSU Award under the Company’s Amended and Restated 2022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for the number of restricted stock units as indicated in your Grant Notice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xml:space="preserve">). The terms of your RSU Award as specified in this Award Agreement for your RSU Award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xml:space="preserve">) and the Grant Notice constitute your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Defined terms not explicitly defined in this Agreement but defined in the Grant Notice 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shall have the same definitions as in the Grant Notice or Plan, as applicable.  </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general terms applicable to your RSU Award are as follows:</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1.             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RSU Award is subject to all the provisions of the Plan,</w:t>
      </w:r>
    </w:p>
    <w:p>
      <w:pPr>
        <w:ind w:left="200"/>
        <w:spacing w:after="0"/>
        <w:rPr>
          <w:sz w:val="20"/>
          <w:szCs w:val="20"/>
          <w:color w:val="auto"/>
        </w:rPr>
      </w:pPr>
      <w:r>
        <w:rPr>
          <w:rFonts w:ascii="Times New Roman" w:cs="Times New Roman" w:eastAsia="Times New Roman" w:hAnsi="Times New Roman"/>
          <w:sz w:val="20"/>
          <w:szCs w:val="20"/>
          <w:color w:val="auto"/>
        </w:rPr>
        <w:t>including but not limited to the provisions in: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regarding the impact of a Capitalization Adjustment,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dissolution, liquidation, or Corporate Transaction on your RSU Award;  </w:t>
      </w:r>
    </w:p>
    <w:p>
      <w:pPr>
        <w:spacing w:after="0" w:line="229" w:lineRule="exact"/>
        <w:rPr>
          <w:sz w:val="20"/>
          <w:szCs w:val="20"/>
          <w:color w:val="auto"/>
        </w:rPr>
      </w:pP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(b)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9(e) </w:t>
      </w:r>
      <w:r>
        <w:rPr>
          <w:rFonts w:ascii="Times New Roman" w:cs="Times New Roman" w:eastAsia="Times New Roman" w:hAnsi="Times New Roman"/>
          <w:sz w:val="20"/>
          <w:szCs w:val="20"/>
          <w:color w:val="auto"/>
        </w:rPr>
        <w:t>of the Plan regarding the Company’s retained rights to terminate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Continuous Service notwithstanding the grant of the RSU Award; and  </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regarding the tax consequences of your RSU Award.</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line="239" w:lineRule="auto"/>
        <w:rPr>
          <w:sz w:val="20"/>
          <w:szCs w:val="20"/>
          <w:color w:val="auto"/>
        </w:rPr>
      </w:pPr>
      <w:r>
        <w:rPr>
          <w:rFonts w:ascii="Times New Roman" w:cs="Times New Roman" w:eastAsia="Times New Roman" w:hAnsi="Times New Roman"/>
          <w:sz w:val="20"/>
          <w:szCs w:val="20"/>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spacing w:after="0" w:line="2" w:lineRule="exact"/>
        <w:rPr>
          <w:sz w:val="20"/>
          <w:szCs w:val="20"/>
          <w:color w:val="auto"/>
        </w:rPr>
      </w:pP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2.             G</w:t>
      </w:r>
      <w:r>
        <w:rPr>
          <w:rFonts w:ascii="Times New Roman" w:cs="Times New Roman" w:eastAsia="Times New Roman" w:hAnsi="Times New Roman"/>
          <w:sz w:val="13"/>
          <w:szCs w:val="13"/>
          <w:b w:val="1"/>
          <w:bCs w:val="1"/>
          <w:color w:val="auto"/>
        </w:rPr>
        <w:t>rant of the</w:t>
      </w:r>
      <w:r>
        <w:rPr>
          <w:rFonts w:ascii="Times New Roman" w:cs="Times New Roman" w:eastAsia="Times New Roman" w:hAnsi="Times New Roman"/>
          <w:sz w:val="20"/>
          <w:szCs w:val="20"/>
          <w:b w:val="1"/>
          <w:bCs w:val="1"/>
          <w:color w:val="auto"/>
        </w:rPr>
        <w:t xml:space="preserve"> RSU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RSU Award represents your right to be issued on a future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xml:space="preserve">). Any additional Restricted Stock Units that become subject to the RSU Award pursuant to Capitalization Adjustments as set forth in the Plan and the provisions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below, if any, shall be subject, in a manner determined by the Board, to the same forfeiture restrictions, restrictions on transferability, and time and manner of delivery as applicable to the other Restricted Stock Units covered by your RSU Award.  </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b w:val="1"/>
          <w:bCs w:val="1"/>
          <w:color w:val="auto"/>
        </w:rPr>
        <w:t>3.             D</w:t>
      </w:r>
      <w:r>
        <w:rPr>
          <w:rFonts w:ascii="Times New Roman" w:cs="Times New Roman" w:eastAsia="Times New Roman" w:hAnsi="Times New Roman"/>
          <w:sz w:val="12"/>
          <w:szCs w:val="12"/>
          <w:b w:val="1"/>
          <w:bCs w:val="1"/>
          <w:color w:val="auto"/>
        </w:rPr>
        <w:t>ividends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You shall receive no benefit or adjustment to your RSU Award with respect to any</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cash dividend, stock dividend or other distribution that does not result from a Capitalization Adjustment as</w:t>
      </w:r>
    </w:p>
    <w:p>
      <w:pPr>
        <w:ind w:left="200"/>
        <w:spacing w:after="0"/>
        <w:rPr>
          <w:sz w:val="20"/>
          <w:szCs w:val="20"/>
          <w:color w:val="auto"/>
        </w:rPr>
      </w:pPr>
      <w:r>
        <w:rPr>
          <w:rFonts w:ascii="Times New Roman" w:cs="Times New Roman" w:eastAsia="Times New Roman" w:hAnsi="Times New Roman"/>
          <w:sz w:val="20"/>
          <w:szCs w:val="20"/>
          <w:color w:val="auto"/>
        </w:rPr>
        <w:t>provided in the Plan; provided, however, that this sentence shall not apply with respect to any shares of</w:t>
      </w:r>
    </w:p>
    <w:p>
      <w:pPr>
        <w:ind w:left="200"/>
        <w:spacing w:after="0"/>
        <w:rPr>
          <w:sz w:val="20"/>
          <w:szCs w:val="20"/>
          <w:color w:val="auto"/>
        </w:rPr>
      </w:pPr>
      <w:r>
        <w:rPr>
          <w:rFonts w:ascii="Times New Roman" w:cs="Times New Roman" w:eastAsia="Times New Roman" w:hAnsi="Times New Roman"/>
          <w:sz w:val="20"/>
          <w:szCs w:val="20"/>
          <w:color w:val="auto"/>
        </w:rPr>
        <w:t>Common Stock that are delivered to you in connection with your RSU Award after such shares have been</w:t>
      </w:r>
    </w:p>
    <w:p>
      <w:pPr>
        <w:ind w:left="200"/>
        <w:spacing w:after="0"/>
        <w:rPr>
          <w:sz w:val="20"/>
          <w:szCs w:val="20"/>
          <w:color w:val="auto"/>
        </w:rPr>
      </w:pPr>
      <w:r>
        <w:rPr>
          <w:rFonts w:ascii="Times New Roman" w:cs="Times New Roman" w:eastAsia="Times New Roman" w:hAnsi="Times New Roman"/>
          <w:sz w:val="20"/>
          <w:szCs w:val="20"/>
          <w:color w:val="auto"/>
        </w:rPr>
        <w:t>delivered to you.</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4.            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further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you hereby authorize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20"/>
          <w:szCs w:val="20"/>
          <w:b w:val="1"/>
          <w:bCs w:val="1"/>
          <w:i w:val="1"/>
          <w:iCs w:val="1"/>
          <w:color w:val="auto"/>
        </w:rPr>
        <w:t>“Withholding Obligation”</w:t>
      </w:r>
      <w:r>
        <w:rPr>
          <w:rFonts w:ascii="Times New Roman" w:cs="Times New Roman" w:eastAsia="Times New Roman" w:hAnsi="Times New Roman"/>
          <w:sz w:val="20"/>
          <w:szCs w:val="20"/>
          <w:color w:val="auto"/>
        </w:rPr>
        <w:t>) in accordance with the withholding procedures established by the Company. Unless the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66" w:name="page267"/>
    <w:bookmarkEnd w:id="266"/>
    <w:p>
      <w:pPr>
        <w:ind w:left="200"/>
        <w:spacing w:after="0"/>
        <w:rPr>
          <w:sz w:val="20"/>
          <w:szCs w:val="20"/>
          <w:color w:val="auto"/>
        </w:rPr>
      </w:pPr>
      <w:r>
        <w:rPr>
          <w:rFonts w:ascii="Times New Roman" w:cs="Times New Roman" w:eastAsia="Times New Roman" w:hAnsi="Times New Roman"/>
          <w:sz w:val="20"/>
          <w:szCs w:val="20"/>
          <w:color w:val="auto"/>
        </w:rPr>
        <w:t>Obligation is satisfied, the Company shall have no obligation to deliver to you any Common Stock in</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respect of the RSU Award. In the event the Withholding Obligation of the Company arises prior to the</w:t>
      </w:r>
    </w:p>
    <w:p>
      <w:pPr>
        <w:ind w:left="200"/>
        <w:spacing w:after="0"/>
        <w:rPr>
          <w:sz w:val="20"/>
          <w:szCs w:val="20"/>
          <w:color w:val="auto"/>
        </w:rPr>
      </w:pPr>
      <w:r>
        <w:rPr>
          <w:rFonts w:ascii="Times New Roman" w:cs="Times New Roman" w:eastAsia="Times New Roman" w:hAnsi="Times New Roman"/>
          <w:sz w:val="20"/>
          <w:szCs w:val="20"/>
          <w:color w:val="auto"/>
        </w:rPr>
        <w:t>delivery to you of Common Stock or it is determined after the delivery of Common Stock to you that the</w:t>
      </w:r>
    </w:p>
    <w:p>
      <w:pPr>
        <w:ind w:left="200"/>
        <w:spacing w:after="0"/>
        <w:rPr>
          <w:sz w:val="20"/>
          <w:szCs w:val="20"/>
          <w:color w:val="auto"/>
        </w:rPr>
      </w:pPr>
      <w:r>
        <w:rPr>
          <w:rFonts w:ascii="Times New Roman" w:cs="Times New Roman" w:eastAsia="Times New Roman" w:hAnsi="Times New Roman"/>
          <w:sz w:val="20"/>
          <w:szCs w:val="20"/>
          <w:color w:val="auto"/>
        </w:rPr>
        <w:t>amount of the Withholding Obligation was greater than the amount withheld by the Company, you agree to</w:t>
      </w:r>
    </w:p>
    <w:p>
      <w:pPr>
        <w:ind w:left="200"/>
        <w:spacing w:after="0"/>
        <w:rPr>
          <w:sz w:val="20"/>
          <w:szCs w:val="20"/>
          <w:color w:val="auto"/>
        </w:rPr>
      </w:pPr>
      <w:r>
        <w:rPr>
          <w:rFonts w:ascii="Times New Roman" w:cs="Times New Roman" w:eastAsia="Times New Roman" w:hAnsi="Times New Roman"/>
          <w:sz w:val="20"/>
          <w:szCs w:val="20"/>
          <w:color w:val="auto"/>
        </w:rPr>
        <w:t>indemnify and hold the Company harmless from any failure by the Company to withhold the proper</w:t>
      </w:r>
    </w:p>
    <w:p>
      <w:pPr>
        <w:ind w:left="200"/>
        <w:spacing w:after="0"/>
        <w:rPr>
          <w:sz w:val="20"/>
          <w:szCs w:val="20"/>
          <w:color w:val="auto"/>
        </w:rPr>
      </w:pPr>
      <w:r>
        <w:rPr>
          <w:rFonts w:ascii="Times New Roman" w:cs="Times New Roman" w:eastAsia="Times New Roman" w:hAnsi="Times New Roman"/>
          <w:sz w:val="20"/>
          <w:szCs w:val="20"/>
          <w:color w:val="auto"/>
        </w:rPr>
        <w:t>amount.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5.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ssuance</w:t>
      </w:r>
      <w:r>
        <w:rPr>
          <w:rFonts w:ascii="Times New Roman" w:cs="Times New Roman" w:eastAsia="Times New Roman" w:hAnsi="Times New Roman"/>
          <w:sz w:val="20"/>
          <w:szCs w:val="20"/>
          <w:b w:val="1"/>
          <w:bCs w:val="1"/>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1296"/>
        <w:spacing w:after="0" w:line="239" w:lineRule="auto"/>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The issuance of shares in respect of the Restricted Stock Units is intended to comply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above, and subject to any different provisions in the Grant Notice). Each issuance date determined by this paragraph is referred to as an </w:t>
      </w:r>
      <w:r>
        <w:rPr>
          <w:rFonts w:ascii="Times New Roman" w:cs="Times New Roman" w:eastAsia="Times New Roman" w:hAnsi="Times New Roman"/>
          <w:sz w:val="20"/>
          <w:szCs w:val="20"/>
          <w:b w:val="1"/>
          <w:bCs w:val="1"/>
          <w:i w:val="1"/>
          <w:iCs w:val="1"/>
          <w:color w:val="auto"/>
        </w:rPr>
        <w:t>“Original Issuance Date.”</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(b)            </w:t>
      </w:r>
      <w:r>
        <w:rPr>
          <w:rFonts w:ascii="Times New Roman" w:cs="Times New Roman" w:eastAsia="Times New Roman" w:hAnsi="Times New Roman"/>
          <w:sz w:val="20"/>
          <w:szCs w:val="20"/>
          <w:color w:val="auto"/>
        </w:rPr>
        <w:t>If the Original Issuance Date falls on a date that is not a business day, delivery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instead occur on the next following business day. In addition, if:  </w:t>
      </w:r>
    </w:p>
    <w:p>
      <w:pPr>
        <w:spacing w:after="0" w:line="229" w:lineRule="exact"/>
        <w:rPr>
          <w:sz w:val="20"/>
          <w:szCs w:val="20"/>
          <w:color w:val="auto"/>
        </w:rPr>
      </w:pPr>
    </w:p>
    <w:p>
      <w:pPr>
        <w:ind w:left="200" w:right="219" w:firstLine="1944"/>
        <w:spacing w:after="0" w:line="239" w:lineRule="auto"/>
        <w:rPr>
          <w:sz w:val="20"/>
          <w:szCs w:val="20"/>
          <w:color w:val="auto"/>
        </w:rPr>
      </w:pPr>
      <w:r>
        <w:rPr>
          <w:rFonts w:ascii="Times New Roman" w:cs="Times New Roman" w:eastAsia="Times New Roman" w:hAnsi="Times New Roman"/>
          <w:sz w:val="20"/>
          <w:szCs w:val="20"/>
          <w:b w:val="1"/>
          <w:bCs w:val="1"/>
          <w:color w:val="auto"/>
        </w:rPr>
        <w:t>(i)            </w:t>
      </w:r>
      <w:r>
        <w:rPr>
          <w:rFonts w:ascii="Times New Roman" w:cs="Times New Roman" w:eastAsia="Times New Roman" w:hAnsi="Times New Roman"/>
          <w:sz w:val="20"/>
          <w:szCs w:val="20"/>
          <w:color w:val="auto"/>
        </w:rPr>
        <w:t>the Original Issuance Date does not occur (1) during an “open window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0"/>
          <w:szCs w:val="20"/>
          <w:b w:val="1"/>
          <w:bCs w:val="1"/>
          <w:i w:val="1"/>
          <w:iCs w:val="1"/>
          <w:color w:val="auto"/>
        </w:rPr>
        <w:t>“10b5-1 Arrangement”</w:t>
      </w:r>
      <w:r>
        <w:rPr>
          <w:rFonts w:ascii="Times New Roman" w:cs="Times New Roman" w:eastAsia="Times New Roman" w:hAnsi="Times New Roman"/>
          <w:sz w:val="20"/>
          <w:szCs w:val="20"/>
          <w:color w:val="auto"/>
        </w:rPr>
        <w:t>)), and  </w:t>
      </w:r>
    </w:p>
    <w:p>
      <w:pPr>
        <w:spacing w:after="0" w:line="3" w:lineRule="exact"/>
        <w:rPr>
          <w:sz w:val="20"/>
          <w:szCs w:val="20"/>
          <w:color w:val="auto"/>
        </w:rPr>
      </w:pPr>
    </w:p>
    <w:p>
      <w:pPr>
        <w:ind w:left="200" w:right="219" w:firstLine="1944"/>
        <w:spacing w:after="0"/>
        <w:rPr>
          <w:sz w:val="20"/>
          <w:szCs w:val="20"/>
          <w:color w:val="auto"/>
        </w:rPr>
      </w:pPr>
      <w:r>
        <w:rPr>
          <w:rFonts w:ascii="Times New Roman" w:cs="Times New Roman" w:eastAsia="Times New Roman" w:hAnsi="Times New Roman"/>
          <w:sz w:val="20"/>
          <w:szCs w:val="20"/>
          <w:b w:val="1"/>
          <w:bCs w:val="1"/>
          <w:color w:val="auto"/>
        </w:rPr>
        <w:t>(ii)            </w:t>
      </w:r>
      <w:r>
        <w:rPr>
          <w:rFonts w:ascii="Times New Roman" w:cs="Times New Roman" w:eastAsia="Times New Roman" w:hAnsi="Times New Roman"/>
          <w:sz w:val="20"/>
          <w:szCs w:val="20"/>
          <w:color w:val="auto"/>
        </w:rPr>
        <w:t>either (1) a Withholding Obligation does not apply, or (2)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w:t>
      </w: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0"/>
          <w:szCs w:val="20"/>
          <w:u w:val="single" w:color="auto"/>
          <w:color w:val="auto"/>
        </w:rPr>
        <w:t>if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only if</w:t>
      </w:r>
      <w:r>
        <w:rPr>
          <w:rFonts w:ascii="Times New Roman" w:cs="Times New Roman" w:eastAsia="Times New Roman" w:hAnsi="Times New Roman"/>
          <w:sz w:val="20"/>
          <w:szCs w:val="20"/>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w:t>
      </w:r>
    </w:p>
    <w:p>
      <w:pPr>
        <w:spacing w:after="0" w:line="2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color w:val="auto"/>
        </w:rPr>
        <w:t>To the extent the RSU Award is a Non-Exempt RSU Award, the provisions of</w:t>
      </w:r>
    </w:p>
    <w:p>
      <w:pPr>
        <w:ind w:left="200"/>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Plan shall apply.</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6.             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in the Plan, your RSU Award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transferable, except by will or by the applicable laws of descent and distribution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67" w:name="page268"/>
    <w:bookmarkEnd w:id="267"/>
    <w:p>
      <w:pPr>
        <w:ind w:left="860"/>
        <w:spacing w:after="0"/>
        <w:rPr>
          <w:sz w:val="20"/>
          <w:szCs w:val="20"/>
          <w:color w:val="auto"/>
        </w:rPr>
      </w:pPr>
      <w:r>
        <w:rPr>
          <w:rFonts w:ascii="Times New Roman" w:cs="Times New Roman" w:eastAsia="Times New Roman" w:hAnsi="Times New Roman"/>
          <w:sz w:val="20"/>
          <w:szCs w:val="20"/>
          <w:b w:val="1"/>
          <w:bCs w:val="1"/>
          <w:color w:val="auto"/>
        </w:rPr>
        <w:t>7.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RSU Award is subject to the terms of any agreement</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governing a Corporate Transaction involving the Company, including, without limitation, a provision for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appointment of a stockholder representative that is authorized to act on your behalf with respect to any</w:t>
      </w:r>
    </w:p>
    <w:p>
      <w:pPr>
        <w:ind w:left="200"/>
        <w:spacing w:after="0"/>
        <w:rPr>
          <w:sz w:val="20"/>
          <w:szCs w:val="20"/>
          <w:color w:val="auto"/>
        </w:rPr>
      </w:pPr>
      <w:r>
        <w:rPr>
          <w:rFonts w:ascii="Times New Roman" w:cs="Times New Roman" w:eastAsia="Times New Roman" w:hAnsi="Times New Roman"/>
          <w:sz w:val="20"/>
          <w:szCs w:val="20"/>
          <w:color w:val="auto"/>
        </w:rPr>
        <w:t>escrow, indemnities and any contingent consideration.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8.             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20"/>
          <w:szCs w:val="20"/>
          <w:color w:val="auto"/>
        </w:rPr>
        <w:t>. As a condition to accepting the RSU Award, you hereby (a) agree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9.             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color w:val="auto"/>
        </w:rPr>
        <w:t>. If any part of this Agreement or the Plan is declared by any court or</w:t>
      </w:r>
    </w:p>
    <w:p>
      <w:pPr>
        <w:ind w:left="200"/>
        <w:spacing w:after="0"/>
        <w:rPr>
          <w:sz w:val="20"/>
          <w:szCs w:val="20"/>
          <w:color w:val="auto"/>
        </w:rPr>
      </w:pPr>
      <w:r>
        <w:rPr>
          <w:rFonts w:ascii="Times New Roman" w:cs="Times New Roman" w:eastAsia="Times New Roman" w:hAnsi="Times New Roman"/>
          <w:sz w:val="20"/>
          <w:szCs w:val="20"/>
          <w:color w:val="auto"/>
        </w:rPr>
        <w:t>governmental authority to be unlawful or invalid, such unlawfulness or invalidity will not invalidate any</w:t>
      </w:r>
    </w:p>
    <w:p>
      <w:pPr>
        <w:ind w:left="200"/>
        <w:spacing w:after="0"/>
        <w:rPr>
          <w:sz w:val="20"/>
          <w:szCs w:val="20"/>
          <w:color w:val="auto"/>
        </w:rPr>
      </w:pPr>
      <w:r>
        <w:rPr>
          <w:rFonts w:ascii="Times New Roman" w:cs="Times New Roman" w:eastAsia="Times New Roman" w:hAnsi="Times New Roman"/>
          <w:sz w:val="19"/>
          <w:szCs w:val="19"/>
          <w:color w:val="auto"/>
        </w:rPr>
        <w:t>portion of this Agreement or the Plan not declared to be unlawful or invalid. Any Section of this Agreement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(or part of such a Section) so declared to be unlawful or invalid will, if possible, be construed in a manner</w:t>
      </w:r>
    </w:p>
    <w:p>
      <w:pPr>
        <w:ind w:left="200"/>
        <w:spacing w:after="0"/>
        <w:rPr>
          <w:sz w:val="20"/>
          <w:szCs w:val="20"/>
          <w:color w:val="auto"/>
        </w:rPr>
      </w:pPr>
      <w:r>
        <w:rPr>
          <w:rFonts w:ascii="Times New Roman" w:cs="Times New Roman" w:eastAsia="Times New Roman" w:hAnsi="Times New Roman"/>
          <w:sz w:val="20"/>
          <w:szCs w:val="20"/>
          <w:color w:val="auto"/>
        </w:rPr>
        <w:t>which will give effect to the terms of such Section or part of a Section to the fullest extent possible while</w:t>
      </w:r>
    </w:p>
    <w:p>
      <w:pPr>
        <w:ind w:left="200"/>
        <w:spacing w:after="0"/>
        <w:rPr>
          <w:sz w:val="20"/>
          <w:szCs w:val="20"/>
          <w:color w:val="auto"/>
        </w:rPr>
      </w:pPr>
      <w:r>
        <w:rPr>
          <w:rFonts w:ascii="Times New Roman" w:cs="Times New Roman" w:eastAsia="Times New Roman" w:hAnsi="Times New Roman"/>
          <w:sz w:val="20"/>
          <w:szCs w:val="20"/>
          <w:color w:val="auto"/>
        </w:rPr>
        <w:t>remaining lawful and valid.</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10.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hereby acknowledge receipt of or the right to receive a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the information required by Rule 428(b)(1) promulgated under the Securities Act, which includes the Prospectus. In addition, you acknowledge receipt of the Company’s Trading Policy.  </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11.           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have questions regarding these or any other terms and conditions</w:t>
      </w:r>
    </w:p>
    <w:p>
      <w:pPr>
        <w:ind w:left="200"/>
        <w:spacing w:after="0"/>
        <w:rPr>
          <w:sz w:val="20"/>
          <w:szCs w:val="20"/>
          <w:color w:val="auto"/>
        </w:rPr>
      </w:pPr>
      <w:r>
        <w:rPr>
          <w:rFonts w:ascii="Times New Roman" w:cs="Times New Roman" w:eastAsia="Times New Roman" w:hAnsi="Times New Roman"/>
          <w:sz w:val="20"/>
          <w:szCs w:val="20"/>
          <w:color w:val="auto"/>
        </w:rPr>
        <w:t>applicable to your RSU Award, including a summary of the applicable federal income tax consequences</w:t>
      </w:r>
    </w:p>
    <w:p>
      <w:pPr>
        <w:ind w:left="200"/>
        <w:spacing w:after="0"/>
        <w:rPr>
          <w:sz w:val="20"/>
          <w:szCs w:val="20"/>
          <w:color w:val="auto"/>
        </w:rPr>
      </w:pPr>
      <w:r>
        <w:rPr>
          <w:rFonts w:ascii="Times New Roman" w:cs="Times New Roman" w:eastAsia="Times New Roman" w:hAnsi="Times New Roman"/>
          <w:sz w:val="20"/>
          <w:szCs w:val="20"/>
          <w:color w:val="auto"/>
        </w:rPr>
        <w:t>please see the Prospectus.</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color w:val="auto"/>
        </w:rPr>
        <w:t>* * * *</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68" w:name="page269"/>
    <w:bookmarkEnd w:id="268"/>
    <w:p>
      <w:pPr>
        <w:jc w:val="right"/>
        <w:ind w:right="219"/>
        <w:spacing w:after="0"/>
        <w:rPr>
          <w:sz w:val="20"/>
          <w:szCs w:val="20"/>
          <w:color w:val="auto"/>
        </w:rPr>
      </w:pPr>
      <w:r>
        <w:rPr>
          <w:rFonts w:ascii="Times New Roman" w:cs="Times New Roman" w:eastAsia="Times New Roman" w:hAnsi="Times New Roman"/>
          <w:sz w:val="20"/>
          <w:szCs w:val="20"/>
          <w:i w:val="1"/>
          <w:iCs w:val="1"/>
          <w:color w:val="auto"/>
        </w:rPr>
        <w:t>Standard Stock Option Grant Package</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Amended and Restated</w:t>
      </w:r>
    </w:p>
    <w:p>
      <w:pPr>
        <w:ind w:left="200"/>
        <w:spacing w:after="0"/>
        <w:rPr>
          <w:sz w:val="20"/>
          <w:szCs w:val="20"/>
          <w:color w:val="auto"/>
        </w:rPr>
      </w:pPr>
      <w:r>
        <w:rPr>
          <w:rFonts w:ascii="Times New Roman" w:cs="Times New Roman" w:eastAsia="Times New Roman" w:hAnsi="Times New Roman"/>
          <w:sz w:val="20"/>
          <w:szCs w:val="20"/>
          <w:color w:val="auto"/>
        </w:rPr>
        <w:t xml:space="preserve">2022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you (</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 an option to purchase the</w:t>
      </w:r>
    </w:p>
    <w:p>
      <w:pPr>
        <w:ind w:left="200"/>
        <w:spacing w:after="0"/>
        <w:rPr>
          <w:sz w:val="20"/>
          <w:szCs w:val="20"/>
          <w:color w:val="auto"/>
        </w:rPr>
      </w:pPr>
      <w:r>
        <w:rPr>
          <w:rFonts w:ascii="Times New Roman" w:cs="Times New Roman" w:eastAsia="Times New Roman" w:hAnsi="Times New Roman"/>
          <w:sz w:val="20"/>
          <w:szCs w:val="20"/>
          <w:color w:val="auto"/>
        </w:rPr>
        <w:t xml:space="preserve">number of shares of the Common Stock set forth below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Your Option is subject to all of the</w:t>
      </w:r>
    </w:p>
    <w:p>
      <w:pPr>
        <w:ind w:left="200"/>
        <w:spacing w:after="0"/>
        <w:rPr>
          <w:sz w:val="20"/>
          <w:szCs w:val="20"/>
          <w:color w:val="auto"/>
        </w:rPr>
      </w:pPr>
      <w:r>
        <w:rPr>
          <w:rFonts w:ascii="Times New Roman" w:cs="Times New Roman" w:eastAsia="Times New Roman" w:hAnsi="Times New Roman"/>
          <w:sz w:val="19"/>
          <w:szCs w:val="19"/>
          <w:color w:val="auto"/>
        </w:rPr>
        <w:t xml:space="preserve">terms and conditions as set forth in this Stock Option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and in the Plan,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Stock Option Agreement and the Notice of Exercise, all of which are attached hereto and incorporated</w:t>
      </w:r>
    </w:p>
    <w:p>
      <w:pPr>
        <w:ind w:left="200"/>
        <w:spacing w:after="0"/>
        <w:rPr>
          <w:sz w:val="20"/>
          <w:szCs w:val="20"/>
          <w:color w:val="auto"/>
        </w:rPr>
      </w:pPr>
      <w:r>
        <w:rPr>
          <w:rFonts w:ascii="Times New Roman" w:cs="Times New Roman" w:eastAsia="Times New Roman" w:hAnsi="Times New Roman"/>
          <w:sz w:val="20"/>
          <w:szCs w:val="20"/>
          <w:color w:val="auto"/>
        </w:rPr>
        <w:t>herein in their entirety. Capitalized terms not explicitly defined herein but defined in the Plan or the Stock</w:t>
      </w:r>
    </w:p>
    <w:p>
      <w:pPr>
        <w:ind w:left="200"/>
        <w:spacing w:after="0"/>
        <w:rPr>
          <w:sz w:val="20"/>
          <w:szCs w:val="20"/>
          <w:color w:val="auto"/>
        </w:rPr>
      </w:pPr>
      <w:r>
        <w:rPr>
          <w:rFonts w:ascii="Times New Roman" w:cs="Times New Roman" w:eastAsia="Times New Roman" w:hAnsi="Times New Roman"/>
          <w:sz w:val="20"/>
          <w:szCs w:val="20"/>
          <w:color w:val="auto"/>
        </w:rPr>
        <w:t>Option Agreement shall have the meanings set forth in the Plan or the Stock Option Agreement, as</w:t>
      </w:r>
    </w:p>
    <w:p>
      <w:pPr>
        <w:ind w:left="200"/>
        <w:spacing w:after="0"/>
        <w:rPr>
          <w:sz w:val="20"/>
          <w:szCs w:val="20"/>
          <w:color w:val="auto"/>
        </w:rPr>
      </w:pPr>
      <w:r>
        <w:rPr>
          <w:rFonts w:ascii="Times New Roman" w:cs="Times New Roman" w:eastAsia="Times New Roman" w:hAnsi="Times New Roman"/>
          <w:sz w:val="20"/>
          <w:szCs w:val="20"/>
          <w:color w:val="auto"/>
        </w:rPr>
        <w:t>applicable.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0</wp:posOffset>
            </wp:positionV>
            <wp:extent cx="18345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16510</wp:posOffset>
            </wp:positionV>
            <wp:extent cx="18345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16510</wp:posOffset>
            </wp:positionV>
            <wp:extent cx="18345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Number of Shares of the Common Stock</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0</wp:posOffset>
            </wp:positionV>
            <wp:extent cx="18345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16510</wp:posOffset>
            </wp:positionV>
            <wp:extent cx="18345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16510</wp:posOffset>
            </wp:positionV>
            <wp:extent cx="18345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16510</wp:posOffset>
            </wp:positionV>
            <wp:extent cx="18345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6" w:lineRule="exact"/>
        <w:rPr>
          <w:sz w:val="20"/>
          <w:szCs w:val="20"/>
          <w:color w:val="auto"/>
        </w:rPr>
      </w:pPr>
    </w:p>
    <w:p>
      <w:pPr>
        <w:ind w:left="20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Type of Grant:</w:t>
      </w:r>
      <w:r>
        <w:rPr>
          <w:sz w:val="20"/>
          <w:szCs w:val="20"/>
          <w:color w:val="auto"/>
        </w:rPr>
        <w:tab/>
      </w:r>
      <w:r>
        <w:rPr>
          <w:rFonts w:ascii="Times New Roman" w:cs="Times New Roman" w:eastAsia="Times New Roman" w:hAnsi="Times New Roman"/>
          <w:sz w:val="19"/>
          <w:szCs w:val="19"/>
          <w:color w:val="auto"/>
        </w:rPr>
        <w:t>[Incentive Stock Option] OR [Nonstatutory Stock Option]</w:t>
      </w:r>
    </w:p>
    <w:p>
      <w:pPr>
        <w:sectPr>
          <w:pgSz w:w="11900" w:h="16838" w:orient="portrait"/>
          <w:cols w:equalWidth="0" w:num="1">
            <w:col w:w="9019"/>
          </w:cols>
          <w:pgMar w:left="1440" w:top="882" w:right="1440" w:bottom="1440" w:gutter="0" w:footer="0" w:header="0"/>
        </w:sectPr>
      </w:pPr>
    </w:p>
    <w:p>
      <w:pPr>
        <w:spacing w:after="0" w:line="203"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20"/>
          <w:szCs w:val="20"/>
          <w:b w:val="1"/>
          <w:bCs w:val="1"/>
          <w:color w:val="auto"/>
        </w:rPr>
        <w:t>Exercise Schedule: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39" w:hanging="666"/>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Subject to the Optionholder’s Continuous Service through each applicable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the Option will vest as follows:</w:t>
      </w:r>
      <w:r>
        <w:rPr>
          <w:rFonts w:ascii="Times New Roman" w:cs="Times New Roman" w:eastAsia="Times New Roman" w:hAnsi="Times New Roman"/>
          <w:sz w:val="16"/>
          <w:szCs w:val="16"/>
          <w:color w:val="auto"/>
        </w:rPr>
        <w:t>1</w:t>
      </w:r>
    </w:p>
    <w:p>
      <w:pPr>
        <w:spacing w:after="0" w:line="1" w:lineRule="exact"/>
        <w:rPr>
          <w:sz w:val="20"/>
          <w:szCs w:val="20"/>
          <w:color w:val="auto"/>
        </w:rPr>
      </w:pPr>
    </w:p>
    <w:p>
      <w:pPr>
        <w:sectPr>
          <w:pgSz w:w="11900" w:h="16838" w:orient="portrait"/>
          <w:cols w:equalWidth="0" w:num="3">
            <w:col w:w="1040" w:space="60"/>
            <w:col w:w="420" w:space="720"/>
            <w:col w:w="6779"/>
          </w:cols>
          <w:pgMar w:left="1440" w:top="882"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0"/>
          <w:szCs w:val="20"/>
          <w:color w:val="auto"/>
        </w:rPr>
        <w:t> </w:t>
      </w:r>
    </w:p>
    <w:p>
      <w:pPr>
        <w:sectPr>
          <w:pgSz w:w="11900" w:h="16838" w:orient="portrait"/>
          <w:cols w:equalWidth="0" w:num="1">
            <w:col w:w="9019"/>
          </w:cols>
          <w:pgMar w:left="1440" w:top="882" w:right="1440" w:bottom="1440" w:gutter="0" w:footer="0" w:header="0"/>
          <w:type w:val="continuous"/>
        </w:sectPr>
      </w:pP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 xml:space="preserve">Optionholder Acknowledgements: </w:t>
      </w:r>
      <w:r>
        <w:rPr>
          <w:rFonts w:ascii="Times New Roman" w:cs="Times New Roman" w:eastAsia="Times New Roman" w:hAnsi="Times New Roman"/>
          <w:sz w:val="20"/>
          <w:szCs w:val="20"/>
          <w:color w:val="auto"/>
        </w:rPr>
        <w:t>By your signature below or by electronic acceptance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authentication in a form authorized by the Company, you understand and agree that:  </w:t>
      </w:r>
    </w:p>
    <w:p>
      <w:pPr>
        <w:spacing w:after="0" w:line="222" w:lineRule="exact"/>
        <w:rPr>
          <w:sz w:val="20"/>
          <w:szCs w:val="20"/>
          <w:color w:val="auto"/>
        </w:rPr>
      </w:pPr>
    </w:p>
    <w:p>
      <w:pPr>
        <w:jc w:val="both"/>
        <w:ind w:left="1500" w:right="219" w:hanging="643"/>
        <w:spacing w:after="0" w:line="239" w:lineRule="auto"/>
        <w:tabs>
          <w:tab w:leader="none" w:pos="150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Option is governed by the Grant Notice, and the provisions of the Plan,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39" w:hanging="643"/>
        <w:spacing w:after="0" w:line="239" w:lineRule="auto"/>
        <w:tabs>
          <w:tab w:leader="none" w:pos="1500"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Option is designated an Incentive Stock Option, it (plus other outstanding Incentive Stock Options granted to you) cannot be first exercisable for more than $100,000 in value (measured by exercise price) in any calendar year. Any excess over $100,000 is a Nonstatutory Stock Option.</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ind w:left="1000" w:hanging="143"/>
        <w:spacing w:after="0"/>
        <w:tabs>
          <w:tab w:leader="none" w:pos="1000" w:val="left"/>
        </w:tabs>
        <w:numPr>
          <w:ilvl w:val="0"/>
          <w:numId w:val="334"/>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b w:val="1"/>
          <w:bCs w:val="1"/>
          <w:color w:val="auto"/>
        </w:rPr>
        <w:t xml:space="preserve">Note to Draft: </w:t>
      </w:r>
      <w:r>
        <w:rPr>
          <w:rFonts w:ascii="Times New Roman" w:cs="Times New Roman" w:eastAsia="Times New Roman" w:hAnsi="Times New Roman"/>
          <w:sz w:val="20"/>
          <w:szCs w:val="20"/>
          <w:color w:val="auto"/>
        </w:rPr>
        <w:t>To insert applicable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489585</wp:posOffset>
            </wp:positionV>
            <wp:extent cx="545211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269" w:name="page270"/>
    <w:bookmarkEnd w:id="269"/>
    <w:p>
      <w:pPr>
        <w:jc w:val="both"/>
        <w:ind w:left="1500" w:right="219" w:hanging="643"/>
        <w:spacing w:after="0" w:line="245" w:lineRule="auto"/>
        <w:tabs>
          <w:tab w:leader="none" w:pos="150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consent to receive this Grant Notice, the Stock Option Agreement, the Plan and any other Plan-related documents (including the Prospectus) by electronic delivery and to participate in the Plan through an on-line or electronic system established and maintained by the Company or another third party designated by the Company.</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Grant Notice,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Agreement sets forth the entire understanding between you and the Company regarding the acquisition of the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tbl>
      <w:tblPr>
        <w:tblLayout w:type="fixed"/>
        <w:tblInd w:w="200" w:type="dxa"/>
        <w:tblCellMar>
          <w:top w:w="0" w:type="dxa"/>
          <w:left w:w="0" w:type="dxa"/>
          <w:bottom w:w="0" w:type="dxa"/>
          <w:right w:w="0" w:type="dxa"/>
        </w:tblCellMar>
      </w:tblPr>
      <w:tr>
        <w:trPr>
          <w:trHeight w:val="206"/>
        </w:trPr>
        <w:tc>
          <w:tcPr>
            <w:tcW w:w="430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THE COMPANY:</w:t>
            </w: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OPTIONHOLDER:</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8"/>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1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nsert</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3"/>
                <w:szCs w:val="13"/>
                <w:color w:val="auto"/>
              </w:rPr>
              <w:t>ame</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60" w:type="dxa"/>
            <w:vAlign w:val="bottom"/>
            <w:vMerge w:val="continue"/>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740" w:type="dxa"/>
            <w:vAlign w:val="bottom"/>
            <w:tcBorders>
              <w:bottom w:val="single" w:sz="8" w:color="auto"/>
            </w:tcBorders>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Date:</w:t>
            </w:r>
          </w:p>
        </w:tc>
      </w:tr>
      <w:tr>
        <w:trPr>
          <w:trHeight w:val="222"/>
        </w:trPr>
        <w:tc>
          <w:tcPr>
            <w:tcW w:w="5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 </w:t>
            </w:r>
          </w:p>
        </w:tc>
        <w:tc>
          <w:tcPr>
            <w:tcW w:w="37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-153035</wp:posOffset>
            </wp:positionV>
            <wp:extent cx="23742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9"/>
          <w:szCs w:val="19"/>
          <w:b w:val="1"/>
          <w:bCs w:val="1"/>
          <w:color w:val="auto"/>
        </w:rPr>
        <w:t>ATTACHMENTS</w:t>
      </w:r>
      <w:r>
        <w:rPr>
          <w:rFonts w:ascii="Times New Roman" w:cs="Times New Roman" w:eastAsia="Times New Roman" w:hAnsi="Times New Roman"/>
          <w:sz w:val="19"/>
          <w:szCs w:val="19"/>
          <w:color w:val="auto"/>
        </w:rPr>
        <w:t>: Stock Option Agreement, Amended and Restated 2022 Equity Incentive Plan, Notice of</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Exercise</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70" w:name="page271"/>
    <w:bookmarkEnd w:id="27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 xml:space="preserve">As reflected by your Stock Option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MetaVia Inc., a Delaware</w:t>
      </w:r>
    </w:p>
    <w:p>
      <w:pPr>
        <w:ind w:left="200"/>
        <w:spacing w:after="0"/>
        <w:rPr>
          <w:sz w:val="20"/>
          <w:szCs w:val="20"/>
          <w:color w:val="auto"/>
        </w:rPr>
      </w:pPr>
      <w:r>
        <w:rPr>
          <w:rFonts w:ascii="Times New Roman" w:cs="Times New Roman" w:eastAsia="Times New Roman" w:hAnsi="Times New Roman"/>
          <w:sz w:val="20"/>
          <w:szCs w:val="20"/>
          <w:color w:val="auto"/>
        </w:rPr>
        <w:t xml:space="preserve">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its Amended and Restated 2022 Equity</w:t>
      </w:r>
    </w:p>
    <w:p>
      <w:pPr>
        <w:ind w:left="200"/>
        <w:spacing w:after="0"/>
        <w:rPr>
          <w:sz w:val="20"/>
          <w:szCs w:val="20"/>
          <w:color w:val="auto"/>
        </w:rPr>
      </w:pPr>
      <w:r>
        <w:rPr>
          <w:rFonts w:ascii="Times New Roman" w:cs="Times New Roman" w:eastAsia="Times New Roman" w:hAnsi="Times New Roman"/>
          <w:sz w:val="20"/>
          <w:szCs w:val="20"/>
          <w:color w:val="auto"/>
        </w:rPr>
        <w:t xml:space="preserve">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a number of shares of the Common Stock at the exercise price</w:t>
      </w:r>
    </w:p>
    <w:p>
      <w:pPr>
        <w:ind w:left="200"/>
        <w:spacing w:after="0"/>
        <w:rPr>
          <w:sz w:val="20"/>
          <w:szCs w:val="20"/>
          <w:color w:val="auto"/>
        </w:rPr>
      </w:pPr>
      <w:r>
        <w:rPr>
          <w:rFonts w:ascii="Times New Roman" w:cs="Times New Roman" w:eastAsia="Times New Roman" w:hAnsi="Times New Roman"/>
          <w:sz w:val="20"/>
          <w:szCs w:val="20"/>
          <w:color w:val="auto"/>
        </w:rPr>
        <w:t xml:space="preserve">indicated in your Grant Notice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Capitalized terms not explicitly defined in this Agreement</w:t>
      </w:r>
    </w:p>
    <w:p>
      <w:pPr>
        <w:ind w:left="200"/>
        <w:spacing w:after="0"/>
        <w:rPr>
          <w:sz w:val="20"/>
          <w:szCs w:val="20"/>
          <w:color w:val="auto"/>
        </w:rPr>
      </w:pPr>
      <w:r>
        <w:rPr>
          <w:rFonts w:ascii="Times New Roman" w:cs="Times New Roman" w:eastAsia="Times New Roman" w:hAnsi="Times New Roman"/>
          <w:sz w:val="20"/>
          <w:szCs w:val="20"/>
          <w:color w:val="auto"/>
        </w:rPr>
        <w:t>but defined in the Grant Notice or the Plan shall have the meanings set forth in the Grant Notice or Plan, as</w:t>
      </w:r>
    </w:p>
    <w:p>
      <w:pPr>
        <w:ind w:left="200"/>
        <w:spacing w:after="0"/>
        <w:rPr>
          <w:sz w:val="20"/>
          <w:szCs w:val="20"/>
          <w:color w:val="auto"/>
        </w:rPr>
      </w:pPr>
      <w:r>
        <w:rPr>
          <w:rFonts w:ascii="Times New Roman" w:cs="Times New Roman" w:eastAsia="Times New Roman" w:hAnsi="Times New Roman"/>
          <w:sz w:val="20"/>
          <w:szCs w:val="20"/>
          <w:color w:val="auto"/>
        </w:rPr>
        <w:t>applicable. The terms of your Option as specified in the Grant Notice and this Stock Option Agreement</w:t>
      </w:r>
    </w:p>
    <w:p>
      <w:pPr>
        <w:ind w:left="200"/>
        <w:spacing w:after="0"/>
        <w:rPr>
          <w:sz w:val="20"/>
          <w:szCs w:val="20"/>
          <w:color w:val="auto"/>
        </w:rPr>
      </w:pPr>
      <w:r>
        <w:rPr>
          <w:rFonts w:ascii="Times New Roman" w:cs="Times New Roman" w:eastAsia="Times New Roman" w:hAnsi="Times New Roman"/>
          <w:sz w:val="20"/>
          <w:szCs w:val="20"/>
          <w:color w:val="auto"/>
        </w:rPr>
        <w:t>constitute your Option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The general terms and conditions applicable to your Option are as follows:</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1.             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Option is subject to all the provisions of the Plan,</w:t>
      </w:r>
    </w:p>
    <w:p>
      <w:pPr>
        <w:ind w:left="200"/>
        <w:spacing w:after="0"/>
        <w:rPr>
          <w:sz w:val="20"/>
          <w:szCs w:val="20"/>
          <w:color w:val="auto"/>
        </w:rPr>
      </w:pPr>
      <w:r>
        <w:rPr>
          <w:rFonts w:ascii="Times New Roman" w:cs="Times New Roman" w:eastAsia="Times New Roman" w:hAnsi="Times New Roman"/>
          <w:sz w:val="20"/>
          <w:szCs w:val="20"/>
          <w:color w:val="auto"/>
        </w:rPr>
        <w:t>including but not limited to the provisions in: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tabs>
          <w:tab w:leader="none" w:pos="2880" w:val="left"/>
          <w:tab w:leader="none" w:pos="3800" w:val="left"/>
          <w:tab w:leader="none" w:pos="4200" w:val="left"/>
          <w:tab w:leader="none" w:pos="4900" w:val="left"/>
          <w:tab w:leader="none" w:pos="5220" w:val="left"/>
          <w:tab w:leader="none" w:pos="5460" w:val="left"/>
          <w:tab w:leader="none" w:pos="6720" w:val="left"/>
          <w:tab w:leader="none" w:pos="7840" w:val="left"/>
        </w:tabs>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6</w:t>
      </w:r>
      <w:r>
        <w:rPr>
          <w:sz w:val="20"/>
          <w:szCs w:val="20"/>
          <w:color w:val="auto"/>
        </w:rPr>
        <w:tab/>
      </w:r>
      <w:r>
        <w:rPr>
          <w:rFonts w:ascii="Times New Roman" w:cs="Times New Roman" w:eastAsia="Times New Roman" w:hAnsi="Times New Roman"/>
          <w:sz w:val="20"/>
          <w:szCs w:val="20"/>
          <w:color w:val="auto"/>
        </w:rPr>
        <w:t>regarding</w:t>
        <w:tab/>
        <w:t>the</w:t>
        <w:tab/>
        <w:t>impact</w:t>
        <w:tab/>
        <w:t>of</w:t>
        <w:tab/>
        <w:t>a</w:t>
        <w:tab/>
        <w:t>Capitalization</w:t>
        <w:tab/>
        <w:t>Adjustment,</w:t>
      </w:r>
      <w:r>
        <w:rPr>
          <w:sz w:val="20"/>
          <w:szCs w:val="20"/>
          <w:color w:val="auto"/>
        </w:rPr>
        <w:tab/>
      </w:r>
      <w:r>
        <w:rPr>
          <w:rFonts w:ascii="Times New Roman" w:cs="Times New Roman" w:eastAsia="Times New Roman" w:hAnsi="Times New Roman"/>
          <w:sz w:val="19"/>
          <w:szCs w:val="19"/>
          <w:color w:val="auto"/>
        </w:rPr>
        <w:t>dissolution,</w:t>
      </w:r>
    </w:p>
    <w:p>
      <w:pPr>
        <w:ind w:left="200"/>
        <w:spacing w:after="0"/>
        <w:rPr>
          <w:sz w:val="20"/>
          <w:szCs w:val="20"/>
          <w:color w:val="auto"/>
        </w:rPr>
      </w:pPr>
      <w:r>
        <w:rPr>
          <w:rFonts w:ascii="Times New Roman" w:cs="Times New Roman" w:eastAsia="Times New Roman" w:hAnsi="Times New Roman"/>
          <w:sz w:val="20"/>
          <w:szCs w:val="20"/>
          <w:color w:val="auto"/>
        </w:rPr>
        <w:t>liquidation, or Corporate Transaction on your Option;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19"/>
          <w:szCs w:val="19"/>
          <w:b w:val="1"/>
          <w:bCs w:val="1"/>
          <w:color w:val="auto"/>
        </w:rPr>
        <w:t>(b)          </w:t>
      </w:r>
      <w:r>
        <w:rPr>
          <w:rFonts w:ascii="Times New Roman" w:cs="Times New Roman" w:eastAsia="Times New Roman" w:hAnsi="Times New Roman"/>
          <w:sz w:val="19"/>
          <w:szCs w:val="19"/>
          <w:b w:val="1"/>
          <w:bCs w:val="1"/>
          <w:u w:val="single" w:color="auto"/>
          <w:color w:val="auto"/>
        </w:rPr>
        <w:t>  </w:t>
      </w:r>
      <w:r>
        <w:rPr>
          <w:rFonts w:ascii="Times New Roman" w:cs="Times New Roman" w:eastAsia="Times New Roman" w:hAnsi="Times New Roman"/>
          <w:sz w:val="19"/>
          <w:szCs w:val="19"/>
          <w:u w:val="single" w:color="auto"/>
          <w:color w:val="auto"/>
        </w:rPr>
        <w:t>Section 9(e) </w:t>
      </w:r>
      <w:r>
        <w:rPr>
          <w:rFonts w:ascii="Times New Roman" w:cs="Times New Roman" w:eastAsia="Times New Roman" w:hAnsi="Times New Roman"/>
          <w:sz w:val="19"/>
          <w:szCs w:val="19"/>
          <w:color w:val="auto"/>
        </w:rPr>
        <w:t>regarding the Company’s retained rights to terminate your Continuous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Service notwithstanding the grant of the Option; and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tax consequences of your Option.</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rPr>
          <w:sz w:val="20"/>
          <w:szCs w:val="20"/>
          <w:color w:val="auto"/>
        </w:rPr>
      </w:pPr>
      <w:r>
        <w:rPr>
          <w:rFonts w:ascii="Times New Roman" w:cs="Times New Roman" w:eastAsia="Times New Roman" w:hAnsi="Times New Roman"/>
          <w:sz w:val="20"/>
          <w:szCs w:val="20"/>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2.             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20"/>
          <w:szCs w:val="20"/>
          <w:b w:val="1"/>
          <w:bCs w:val="1"/>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apply to your Option if you have entered</w:t>
      </w:r>
    </w:p>
    <w:p>
      <w:pPr>
        <w:ind w:left="200"/>
        <w:spacing w:after="0"/>
        <w:rPr>
          <w:sz w:val="20"/>
          <w:szCs w:val="20"/>
          <w:color w:val="auto"/>
        </w:rPr>
      </w:pPr>
      <w:r>
        <w:rPr>
          <w:rFonts w:ascii="Times New Roman" w:cs="Times New Roman" w:eastAsia="Times New Roman" w:hAnsi="Times New Roman"/>
          <w:sz w:val="20"/>
          <w:szCs w:val="20"/>
          <w:color w:val="auto"/>
        </w:rPr>
        <w:t>into a written agreement with the Company that contains terms related to a 280G Payment (as defined</w:t>
      </w:r>
    </w:p>
    <w:p>
      <w:pPr>
        <w:ind w:left="200"/>
        <w:spacing w:after="0"/>
        <w:rPr>
          <w:sz w:val="20"/>
          <w:szCs w:val="20"/>
          <w:color w:val="auto"/>
        </w:rPr>
      </w:pPr>
      <w:r>
        <w:rPr>
          <w:rFonts w:ascii="Times New Roman" w:cs="Times New Roman" w:eastAsia="Times New Roman" w:hAnsi="Times New Roman"/>
          <w:sz w:val="20"/>
          <w:szCs w:val="20"/>
          <w:color w:val="auto"/>
        </w:rPr>
        <w:t>below).</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(b)            </w:t>
      </w:r>
      <w:r>
        <w:rPr>
          <w:rFonts w:ascii="Times New Roman" w:cs="Times New Roman" w:eastAsia="Times New Roman" w:hAnsi="Times New Roman"/>
          <w:sz w:val="20"/>
          <w:szCs w:val="20"/>
          <w:color w:val="auto"/>
        </w:rPr>
        <w:t>Your Option will vest as provided in your Grant Notice, subject to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  </w:t>
      </w:r>
    </w:p>
    <w:p>
      <w:pPr>
        <w:spacing w:after="0" w:line="227" w:lineRule="exact"/>
        <w:rPr>
          <w:sz w:val="20"/>
          <w:szCs w:val="20"/>
          <w:color w:val="auto"/>
        </w:rPr>
      </w:pPr>
    </w:p>
    <w:p>
      <w:pPr>
        <w:jc w:val="both"/>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color w:val="auto"/>
        </w:rPr>
        <w:t>If any payment or benefit you would receive from the Company or otherwise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connection with a Change in Control or other similar transaction (a </w:t>
      </w:r>
      <w:r>
        <w:rPr>
          <w:rFonts w:ascii="Times New Roman" w:cs="Times New Roman" w:eastAsia="Times New Roman" w:hAnsi="Times New Roman"/>
          <w:sz w:val="20"/>
          <w:szCs w:val="20"/>
          <w:b w:val="1"/>
          <w:bCs w:val="1"/>
          <w:i w:val="1"/>
          <w:iCs w:val="1"/>
          <w:color w:val="auto"/>
        </w:rPr>
        <w:t>“280G Payment”</w:t>
      </w:r>
      <w:r>
        <w:rPr>
          <w:rFonts w:ascii="Times New Roman" w:cs="Times New Roman" w:eastAsia="Times New Roman" w:hAnsi="Times New Roman"/>
          <w:sz w:val="20"/>
          <w:szCs w:val="20"/>
          <w:color w:val="auto"/>
        </w:rPr>
        <w:t xml:space="preserve">)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xml:space="preserve">), then any such 280G Payment (a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xml:space="preserve">) shall be equal to the Reduced Amount. The </w:t>
      </w:r>
      <w:r>
        <w:rPr>
          <w:rFonts w:ascii="Times New Roman" w:cs="Times New Roman" w:eastAsia="Times New Roman" w:hAnsi="Times New Roman"/>
          <w:sz w:val="20"/>
          <w:szCs w:val="20"/>
          <w:b w:val="1"/>
          <w:bCs w:val="1"/>
          <w:i w:val="1"/>
          <w:iCs w:val="1"/>
          <w:color w:val="auto"/>
        </w:rPr>
        <w:t>“Reduced Amount”</w:t>
      </w:r>
      <w:r>
        <w:rPr>
          <w:rFonts w:ascii="Times New Roman" w:cs="Times New Roman" w:eastAsia="Times New Roman" w:hAnsi="Times New Roman"/>
          <w:sz w:val="20"/>
          <w:szCs w:val="20"/>
          <w:color w:val="auto"/>
        </w:rPr>
        <w:t xml:space="preserve"> shall be either (x) the largest portion of the Payment that would result in no portion of the Payment (after reduction) being subject to the Excise Tax or (y) the largest portion, up to and including the total, of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487045</wp:posOffset>
            </wp:positionV>
            <wp:extent cx="545211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71" w:name="page272"/>
    <w:bookmarkEnd w:id="271"/>
    <w:p>
      <w:pPr>
        <w:ind w:left="200"/>
        <w:spacing w:after="0"/>
        <w:rPr>
          <w:sz w:val="20"/>
          <w:szCs w:val="20"/>
          <w:color w:val="auto"/>
        </w:rPr>
      </w:pPr>
      <w:r>
        <w:rPr>
          <w:rFonts w:ascii="Times New Roman" w:cs="Times New Roman" w:eastAsia="Times New Roman" w:hAnsi="Times New Roman"/>
          <w:sz w:val="20"/>
          <w:szCs w:val="20"/>
          <w:color w:val="auto"/>
        </w:rPr>
        <w:t>whichever amount (i.e., the amount determined by clause (x) or by clause (y)), after taking into account all</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applicable federal, state and local employment taxes, income taxes, and the Excise Tax (all computed at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highest applicable marginal rate), results in your receipt, on an after-tax basis, of the greater economic</w:t>
      </w:r>
    </w:p>
    <w:p>
      <w:pPr>
        <w:ind w:left="200"/>
        <w:spacing w:after="0"/>
        <w:rPr>
          <w:sz w:val="20"/>
          <w:szCs w:val="20"/>
          <w:color w:val="auto"/>
        </w:rPr>
      </w:pPr>
      <w:r>
        <w:rPr>
          <w:rFonts w:ascii="Times New Roman" w:cs="Times New Roman" w:eastAsia="Times New Roman" w:hAnsi="Times New Roman"/>
          <w:sz w:val="20"/>
          <w:szCs w:val="20"/>
          <w:color w:val="auto"/>
        </w:rPr>
        <w:t>benefit notwithstanding that all or some portion of the Payment may be subject to the Excise Tax. If a</w:t>
      </w:r>
    </w:p>
    <w:p>
      <w:pPr>
        <w:ind w:left="200"/>
        <w:spacing w:after="0"/>
        <w:rPr>
          <w:sz w:val="20"/>
          <w:szCs w:val="20"/>
          <w:color w:val="auto"/>
        </w:rPr>
      </w:pPr>
      <w:r>
        <w:rPr>
          <w:rFonts w:ascii="Times New Roman" w:cs="Times New Roman" w:eastAsia="Times New Roman" w:hAnsi="Times New Roman"/>
          <w:sz w:val="20"/>
          <w:szCs w:val="20"/>
          <w:color w:val="auto"/>
        </w:rPr>
        <w:t>reduction in a Payment is required pursuant to the preceding sentence and the Reduced Amount is</w:t>
      </w:r>
    </w:p>
    <w:p>
      <w:pPr>
        <w:ind w:left="200"/>
        <w:spacing w:after="0"/>
        <w:rPr>
          <w:sz w:val="20"/>
          <w:szCs w:val="20"/>
          <w:color w:val="auto"/>
        </w:rPr>
      </w:pPr>
      <w:r>
        <w:rPr>
          <w:rFonts w:ascii="Times New Roman" w:cs="Times New Roman" w:eastAsia="Times New Roman" w:hAnsi="Times New Roman"/>
          <w:sz w:val="20"/>
          <w:szCs w:val="20"/>
          <w:color w:val="auto"/>
        </w:rPr>
        <w:t>determined pursuant to clause (x) of the preceding sentence, the reduction shall occur in the manner (the</w:t>
      </w: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“Reduction Method”</w:t>
      </w:r>
      <w:r>
        <w:rPr>
          <w:rFonts w:ascii="Times New Roman" w:cs="Times New Roman" w:eastAsia="Times New Roman" w:hAnsi="Times New Roman"/>
          <w:sz w:val="20"/>
          <w:szCs w:val="20"/>
          <w:color w:val="auto"/>
        </w:rPr>
        <w:t>) that results in the greatest economic benefit for you. If more than one method of</w:t>
      </w:r>
    </w:p>
    <w:p>
      <w:pPr>
        <w:ind w:left="200"/>
        <w:spacing w:after="0"/>
        <w:rPr>
          <w:sz w:val="20"/>
          <w:szCs w:val="20"/>
          <w:color w:val="auto"/>
        </w:rPr>
      </w:pPr>
      <w:r>
        <w:rPr>
          <w:rFonts w:ascii="Times New Roman" w:cs="Times New Roman" w:eastAsia="Times New Roman" w:hAnsi="Times New Roman"/>
          <w:sz w:val="20"/>
          <w:szCs w:val="20"/>
          <w:color w:val="auto"/>
        </w:rPr>
        <w:t xml:space="preserve">reduction will result in the same economic benefit, the items so reduced will be reduced pro rata (the </w:t>
      </w:r>
      <w:r>
        <w:rPr>
          <w:rFonts w:ascii="Times New Roman" w:cs="Times New Roman" w:eastAsia="Times New Roman" w:hAnsi="Times New Roman"/>
          <w:sz w:val="20"/>
          <w:szCs w:val="20"/>
          <w:b w:val="1"/>
          <w:bCs w:val="1"/>
          <w:i w:val="1"/>
          <w:iCs w:val="1"/>
          <w:color w:val="auto"/>
        </w:rPr>
        <w:t>“Pro</w:t>
      </w: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Rata Reduction Method”</w:t>
      </w:r>
      <w:r>
        <w:rPr>
          <w:rFonts w:ascii="Times New Roman" w:cs="Times New Roman" w:eastAsia="Times New Roman" w:hAnsi="Times New Roman"/>
          <w:sz w:val="20"/>
          <w:szCs w:val="20"/>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Notwithstanding the foregoing, if the Reduction Method or the Pro Rata Reduction Method would</w:t>
      </w:r>
    </w:p>
    <w:p>
      <w:pPr>
        <w:ind w:left="200"/>
        <w:spacing w:after="0"/>
        <w:rPr>
          <w:sz w:val="20"/>
          <w:szCs w:val="20"/>
          <w:color w:val="auto"/>
        </w:rPr>
      </w:pPr>
      <w:r>
        <w:rPr>
          <w:rFonts w:ascii="Times New Roman" w:cs="Times New Roman" w:eastAsia="Times New Roman" w:hAnsi="Times New Roman"/>
          <w:sz w:val="19"/>
          <w:szCs w:val="19"/>
          <w:color w:val="auto"/>
        </w:rPr>
        <w:t>result in any portion of the Payment being subject to taxes pursuant to Section 409A of the Code that would</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not otherwise be subject to taxes pursuant to Section 409A of the Code, then the Reduction Method and/or</w:t>
      </w:r>
    </w:p>
    <w:p>
      <w:pPr>
        <w:ind w:left="200"/>
        <w:spacing w:after="0"/>
        <w:rPr>
          <w:sz w:val="20"/>
          <w:szCs w:val="20"/>
          <w:color w:val="auto"/>
        </w:rPr>
      </w:pPr>
      <w:r>
        <w:rPr>
          <w:rFonts w:ascii="Times New Roman" w:cs="Times New Roman" w:eastAsia="Times New Roman" w:hAnsi="Times New Roman"/>
          <w:sz w:val="19"/>
          <w:szCs w:val="19"/>
          <w:color w:val="auto"/>
        </w:rPr>
        <w:t>the Pro Rata Reduction Method, as the case may be, shall be modified so as to avoid the imposition of taxes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pursuant to Section 409A of the Code as follows: (A) as a first priority, the modification shall preserve to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greatest extent possible, the greatest economic benefit for you as determined on an after-tax basis; (B) as a</w:t>
      </w:r>
    </w:p>
    <w:p>
      <w:pPr>
        <w:ind w:left="200"/>
        <w:spacing w:after="0"/>
        <w:rPr>
          <w:sz w:val="20"/>
          <w:szCs w:val="20"/>
          <w:color w:val="auto"/>
        </w:rPr>
      </w:pPr>
      <w:r>
        <w:rPr>
          <w:rFonts w:ascii="Times New Roman" w:cs="Times New Roman" w:eastAsia="Times New Roman" w:hAnsi="Times New Roman"/>
          <w:sz w:val="20"/>
          <w:szCs w:val="20"/>
          <w:color w:val="auto"/>
        </w:rPr>
        <w:t>second priority, Payments that are contingent on future events (e.g., being terminated without cause), shall</w:t>
      </w:r>
    </w:p>
    <w:p>
      <w:pPr>
        <w:ind w:left="200"/>
        <w:spacing w:after="0"/>
        <w:rPr>
          <w:sz w:val="20"/>
          <w:szCs w:val="20"/>
          <w:color w:val="auto"/>
        </w:rPr>
      </w:pPr>
      <w:r>
        <w:rPr>
          <w:rFonts w:ascii="Times New Roman" w:cs="Times New Roman" w:eastAsia="Times New Roman" w:hAnsi="Times New Roman"/>
          <w:sz w:val="20"/>
          <w:szCs w:val="20"/>
          <w:color w:val="auto"/>
        </w:rPr>
        <w:t>be reduced (or eliminated) before Payments that are not contingent on future events; and (C) as a third</w:t>
      </w:r>
    </w:p>
    <w:p>
      <w:pPr>
        <w:ind w:left="200"/>
        <w:spacing w:after="0"/>
        <w:rPr>
          <w:sz w:val="20"/>
          <w:szCs w:val="20"/>
          <w:color w:val="auto"/>
        </w:rPr>
      </w:pPr>
      <w:r>
        <w:rPr>
          <w:rFonts w:ascii="Times New Roman" w:cs="Times New Roman" w:eastAsia="Times New Roman" w:hAnsi="Times New Roman"/>
          <w:sz w:val="20"/>
          <w:szCs w:val="20"/>
          <w:color w:val="auto"/>
        </w:rPr>
        <w:t>priority, Payments that are “deferred compensation” within the meaning of Section 409A of the Code shall</w:t>
      </w:r>
    </w:p>
    <w:p>
      <w:pPr>
        <w:ind w:left="200"/>
        <w:spacing w:after="0"/>
        <w:rPr>
          <w:sz w:val="20"/>
          <w:szCs w:val="20"/>
          <w:color w:val="auto"/>
        </w:rPr>
      </w:pPr>
      <w:r>
        <w:rPr>
          <w:rFonts w:ascii="Times New Roman" w:cs="Times New Roman" w:eastAsia="Times New Roman" w:hAnsi="Times New Roman"/>
          <w:sz w:val="20"/>
          <w:szCs w:val="20"/>
          <w:color w:val="auto"/>
        </w:rPr>
        <w:t>be reduced (or eliminated) before Payments that are not deferred compensation within the meaning of</w:t>
      </w:r>
    </w:p>
    <w:p>
      <w:pPr>
        <w:ind w:left="200"/>
        <w:spacing w:after="0"/>
        <w:rPr>
          <w:sz w:val="20"/>
          <w:szCs w:val="20"/>
          <w:color w:val="auto"/>
        </w:rPr>
      </w:pPr>
      <w:r>
        <w:rPr>
          <w:rFonts w:ascii="Times New Roman" w:cs="Times New Roman" w:eastAsia="Times New Roman" w:hAnsi="Times New Roman"/>
          <w:sz w:val="20"/>
          <w:szCs w:val="20"/>
          <w:color w:val="auto"/>
        </w:rPr>
        <w:t>Section 409A of the Code.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Unless you and the Company agree on an alternative accounting firm, the accounting firm engaged</w:t>
      </w:r>
    </w:p>
    <w:p>
      <w:pPr>
        <w:ind w:left="200"/>
        <w:spacing w:after="0"/>
        <w:rPr>
          <w:sz w:val="20"/>
          <w:szCs w:val="20"/>
          <w:color w:val="auto"/>
        </w:rPr>
      </w:pPr>
      <w:r>
        <w:rPr>
          <w:rFonts w:ascii="Times New Roman" w:cs="Times New Roman" w:eastAsia="Times New Roman" w:hAnsi="Times New Roman"/>
          <w:sz w:val="20"/>
          <w:szCs w:val="20"/>
          <w:color w:val="auto"/>
        </w:rPr>
        <w:t>by the Company for general tax compliance purposes as of the day prior to the effective date of the change</w:t>
      </w:r>
    </w:p>
    <w:p>
      <w:pPr>
        <w:ind w:left="200"/>
        <w:spacing w:after="0"/>
        <w:rPr>
          <w:sz w:val="20"/>
          <w:szCs w:val="20"/>
          <w:color w:val="auto"/>
        </w:rPr>
      </w:pPr>
      <w:r>
        <w:rPr>
          <w:rFonts w:ascii="Times New Roman" w:cs="Times New Roman" w:eastAsia="Times New Roman" w:hAnsi="Times New Roman"/>
          <w:sz w:val="20"/>
          <w:szCs w:val="20"/>
          <w:color w:val="auto"/>
        </w:rPr>
        <w:t>of control transaction triggering the Payment shall perform the foregoing calculations. If the accounting</w:t>
      </w:r>
    </w:p>
    <w:p>
      <w:pPr>
        <w:ind w:left="200"/>
        <w:spacing w:after="0"/>
        <w:rPr>
          <w:sz w:val="20"/>
          <w:szCs w:val="20"/>
          <w:color w:val="auto"/>
        </w:rPr>
      </w:pPr>
      <w:r>
        <w:rPr>
          <w:rFonts w:ascii="Times New Roman" w:cs="Times New Roman" w:eastAsia="Times New Roman" w:hAnsi="Times New Roman"/>
          <w:sz w:val="20"/>
          <w:szCs w:val="20"/>
          <w:color w:val="auto"/>
        </w:rPr>
        <w:t>firm so engaged by the Company is serving as accountant or auditor for the individual, entity or group</w:t>
      </w:r>
    </w:p>
    <w:p>
      <w:pPr>
        <w:ind w:left="200"/>
        <w:spacing w:after="0"/>
        <w:rPr>
          <w:sz w:val="20"/>
          <w:szCs w:val="20"/>
          <w:color w:val="auto"/>
        </w:rPr>
      </w:pPr>
      <w:r>
        <w:rPr>
          <w:rFonts w:ascii="Times New Roman" w:cs="Times New Roman" w:eastAsia="Times New Roman" w:hAnsi="Times New Roman"/>
          <w:sz w:val="20"/>
          <w:szCs w:val="20"/>
          <w:color w:val="auto"/>
        </w:rPr>
        <w:t>effecting the change of control transaction, the Company shall appoint a nationally recognized accounting</w:t>
      </w:r>
    </w:p>
    <w:p>
      <w:pPr>
        <w:ind w:left="200"/>
        <w:spacing w:after="0"/>
        <w:rPr>
          <w:sz w:val="20"/>
          <w:szCs w:val="20"/>
          <w:color w:val="auto"/>
        </w:rPr>
      </w:pPr>
      <w:r>
        <w:rPr>
          <w:rFonts w:ascii="Times New Roman" w:cs="Times New Roman" w:eastAsia="Times New Roman" w:hAnsi="Times New Roman"/>
          <w:sz w:val="20"/>
          <w:szCs w:val="20"/>
          <w:color w:val="auto"/>
        </w:rPr>
        <w:t>firm to make the determinations required hereunder. The Company shall bear all expenses with respect to</w:t>
      </w:r>
    </w:p>
    <w:p>
      <w:pPr>
        <w:ind w:left="200"/>
        <w:spacing w:after="0"/>
        <w:rPr>
          <w:sz w:val="20"/>
          <w:szCs w:val="20"/>
          <w:color w:val="auto"/>
        </w:rPr>
      </w:pPr>
      <w:r>
        <w:rPr>
          <w:rFonts w:ascii="Times New Roman" w:cs="Times New Roman" w:eastAsia="Times New Roman" w:hAnsi="Times New Roman"/>
          <w:sz w:val="20"/>
          <w:szCs w:val="20"/>
          <w:color w:val="auto"/>
        </w:rPr>
        <w:t>the determinations by such accounting firm required to be made hereunder. The Company shall use</w:t>
      </w:r>
    </w:p>
    <w:p>
      <w:pPr>
        <w:ind w:left="200"/>
        <w:spacing w:after="0"/>
        <w:rPr>
          <w:sz w:val="20"/>
          <w:szCs w:val="20"/>
          <w:color w:val="auto"/>
        </w:rPr>
      </w:pPr>
      <w:r>
        <w:rPr>
          <w:rFonts w:ascii="Times New Roman" w:cs="Times New Roman" w:eastAsia="Times New Roman" w:hAnsi="Times New Roman"/>
          <w:sz w:val="19"/>
          <w:szCs w:val="19"/>
          <w:color w:val="auto"/>
        </w:rPr>
        <w:t>commercially reasonable efforts to cause the accounting firm engaged to make the determinations hereunder</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to provide its calculations, together with detailed supporting documentation, to you and the Company within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fifteen (15) calendar days after the date on which your right to a 280G Payment becomes reasonably likely</w:t>
      </w:r>
    </w:p>
    <w:p>
      <w:pPr>
        <w:ind w:left="200"/>
        <w:spacing w:after="0"/>
        <w:rPr>
          <w:sz w:val="20"/>
          <w:szCs w:val="20"/>
          <w:color w:val="auto"/>
        </w:rPr>
      </w:pPr>
      <w:r>
        <w:rPr>
          <w:rFonts w:ascii="Times New Roman" w:cs="Times New Roman" w:eastAsia="Times New Roman" w:hAnsi="Times New Roman"/>
          <w:sz w:val="20"/>
          <w:szCs w:val="20"/>
          <w:color w:val="auto"/>
        </w:rPr>
        <w:t>to occur (if requested at that time by you or the Company) or such other time as requested by you or the</w:t>
      </w:r>
    </w:p>
    <w:p>
      <w:pPr>
        <w:ind w:left="200"/>
        <w:spacing w:after="0"/>
        <w:rPr>
          <w:sz w:val="20"/>
          <w:szCs w:val="20"/>
          <w:color w:val="auto"/>
        </w:rPr>
      </w:pPr>
      <w:r>
        <w:rPr>
          <w:rFonts w:ascii="Times New Roman" w:cs="Times New Roman" w:eastAsia="Times New Roman" w:hAnsi="Times New Roman"/>
          <w:sz w:val="20"/>
          <w:szCs w:val="20"/>
          <w:color w:val="auto"/>
        </w:rPr>
        <w:t>Company.</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color w:val="auto"/>
        </w:rPr>
        <w:t xml:space="preserve">If you receive a Payment for which the Reduced Amount was determined pursuant to clause (x) of the first paragraph of this </w:t>
      </w:r>
      <w:r>
        <w:rPr>
          <w:rFonts w:ascii="Times New Roman" w:cs="Times New Roman" w:eastAsia="Times New Roman" w:hAnsi="Times New Roman"/>
          <w:sz w:val="20"/>
          <w:szCs w:val="20"/>
          <w:u w:val="single" w:color="auto"/>
          <w:color w:val="auto"/>
        </w:rPr>
        <w:t>Section 2(b) </w:t>
      </w:r>
      <w:r>
        <w:rPr>
          <w:rFonts w:ascii="Times New Roman" w:cs="Times New Roman" w:eastAsia="Times New Roman" w:hAnsi="Times New Roman"/>
          <w:sz w:val="20"/>
          <w:szCs w:val="20"/>
          <w:color w:val="auto"/>
        </w:rPr>
        <w:t xml:space="preserve">and the Internal Revenue Service determines thereafter that some portion of the Payment is subject to the Excise Tax, you shall promptly return to the Company a sufficient amount of the Payment (after reduction pursuant to clause (x) of the first paragraph of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so that no portion of the remaining Payment is subject to the Excise Tax. For the avoidance of doubt, if the Reduced Amount was determined pursuant to clause (y) in the first paragraph of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you  </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3.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You may generally exercise the vested portion of your Option for whole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w:t>
      </w:r>
      <w:r>
        <w:rPr>
          <w:rFonts w:ascii="Times New Roman" w:cs="Times New Roman" w:eastAsia="Times New Roman" w:hAnsi="Times New Roman"/>
          <w:sz w:val="20"/>
          <w:szCs w:val="20"/>
          <w:u w:val="single" w:color="auto"/>
          <w:color w:val="auto"/>
        </w:rPr>
        <w:t>Sections 4(i)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4(j) </w:t>
      </w: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7(b)(v) </w:t>
      </w:r>
      <w:r>
        <w:rPr>
          <w:rFonts w:ascii="Times New Roman" w:cs="Times New Roman" w:eastAsia="Times New Roman" w:hAnsi="Times New Roman"/>
          <w:sz w:val="20"/>
          <w:szCs w:val="20"/>
          <w:color w:val="auto"/>
        </w:rPr>
        <w:t>of the Plan, which may restrict or prohibit your ability to exercise your Option during certain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487045</wp:posOffset>
            </wp:positionV>
            <wp:extent cx="545211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72" w:name="page273"/>
    <w:bookmarkEnd w:id="272"/>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color w:val="auto"/>
        </w:rPr>
        <w:t>(b)            </w:t>
      </w:r>
      <w:r>
        <w:rPr>
          <w:rFonts w:ascii="Times New Roman" w:cs="Times New Roman" w:eastAsia="Times New Roman" w:hAnsi="Times New Roman"/>
          <w:sz w:val="19"/>
          <w:szCs w:val="19"/>
          <w:color w:val="auto"/>
        </w:rPr>
        <w:t>To the extent permitted by Applicable Law, you may pay your Option exercise price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follows:</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160"/>
        <w:spacing w:after="0"/>
        <w:rPr>
          <w:sz w:val="20"/>
          <w:szCs w:val="20"/>
          <w:color w:val="auto"/>
        </w:rPr>
      </w:pPr>
      <w:r>
        <w:rPr>
          <w:rFonts w:ascii="Times New Roman" w:cs="Times New Roman" w:eastAsia="Times New Roman" w:hAnsi="Times New Roman"/>
          <w:sz w:val="20"/>
          <w:szCs w:val="20"/>
          <w:b w:val="1"/>
          <w:bCs w:val="1"/>
          <w:color w:val="auto"/>
        </w:rPr>
        <w:t>(i)             </w:t>
      </w:r>
      <w:r>
        <w:rPr>
          <w:rFonts w:ascii="Times New Roman" w:cs="Times New Roman" w:eastAsia="Times New Roman" w:hAnsi="Times New Roman"/>
          <w:sz w:val="20"/>
          <w:szCs w:val="20"/>
          <w:color w:val="auto"/>
        </w:rPr>
        <w:t>cash, check, bank draft or money order;</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160"/>
        <w:spacing w:after="0"/>
        <w:rPr>
          <w:sz w:val="20"/>
          <w:szCs w:val="20"/>
          <w:color w:val="auto"/>
        </w:rPr>
      </w:pPr>
      <w:r>
        <w:rPr>
          <w:rFonts w:ascii="Times New Roman" w:cs="Times New Roman" w:eastAsia="Times New Roman" w:hAnsi="Times New Roman"/>
          <w:sz w:val="20"/>
          <w:szCs w:val="20"/>
          <w:b w:val="1"/>
          <w:bCs w:val="1"/>
          <w:color w:val="auto"/>
        </w:rPr>
        <w:t>(ii)            </w:t>
      </w:r>
      <w:r>
        <w:rPr>
          <w:rFonts w:ascii="Times New Roman" w:cs="Times New Roman" w:eastAsia="Times New Roman" w:hAnsi="Times New Roman"/>
          <w:sz w:val="20"/>
          <w:szCs w:val="20"/>
          <w:color w:val="auto"/>
        </w:rPr>
        <w:t>subject to Company and/or Committee consent at the time of exercise,</w:t>
      </w:r>
    </w:p>
    <w:p>
      <w:pPr>
        <w:ind w:left="200"/>
        <w:spacing w:after="0"/>
        <w:rPr>
          <w:sz w:val="20"/>
          <w:szCs w:val="20"/>
          <w:color w:val="auto"/>
        </w:rPr>
      </w:pPr>
      <w:r>
        <w:rPr>
          <w:rFonts w:ascii="Times New Roman" w:cs="Times New Roman" w:eastAsia="Times New Roman" w:hAnsi="Times New Roman"/>
          <w:sz w:val="19"/>
          <w:szCs w:val="19"/>
          <w:color w:val="auto"/>
        </w:rPr>
        <w:t xml:space="preserve">pursuant to a “cashless exercise” program as further described in </w:t>
      </w:r>
      <w:r>
        <w:rPr>
          <w:rFonts w:ascii="Times New Roman" w:cs="Times New Roman" w:eastAsia="Times New Roman" w:hAnsi="Times New Roman"/>
          <w:sz w:val="19"/>
          <w:szCs w:val="19"/>
          <w:u w:val="single" w:color="auto"/>
          <w:color w:val="auto"/>
        </w:rPr>
        <w:t>Section 4(c)(ii) </w:t>
      </w:r>
      <w:r>
        <w:rPr>
          <w:rFonts w:ascii="Times New Roman" w:cs="Times New Roman" w:eastAsia="Times New Roman" w:hAnsi="Times New Roman"/>
          <w:sz w:val="19"/>
          <w:szCs w:val="19"/>
          <w:color w:val="auto"/>
        </w:rPr>
        <w:t>of the Plan if at the time of</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exercise the Common Stock is publicly traded;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160"/>
        <w:spacing w:after="0"/>
        <w:rPr>
          <w:sz w:val="20"/>
          <w:szCs w:val="20"/>
          <w:color w:val="auto"/>
        </w:rPr>
      </w:pPr>
      <w:r>
        <w:rPr>
          <w:rFonts w:ascii="Times New Roman" w:cs="Times New Roman" w:eastAsia="Times New Roman" w:hAnsi="Times New Roman"/>
          <w:sz w:val="20"/>
          <w:szCs w:val="20"/>
          <w:b w:val="1"/>
          <w:bCs w:val="1"/>
          <w:color w:val="auto"/>
        </w:rPr>
        <w:t>(iii)          </w:t>
      </w:r>
      <w:r>
        <w:rPr>
          <w:rFonts w:ascii="Times New Roman" w:cs="Times New Roman" w:eastAsia="Times New Roman" w:hAnsi="Times New Roman"/>
          <w:sz w:val="20"/>
          <w:szCs w:val="20"/>
          <w:color w:val="auto"/>
        </w:rPr>
        <w:t>subject to Company and/or Committee consent at the time of exercise, by</w:t>
      </w:r>
    </w:p>
    <w:p>
      <w:pPr>
        <w:ind w:left="200"/>
        <w:spacing w:after="0"/>
        <w:rPr>
          <w:sz w:val="20"/>
          <w:szCs w:val="20"/>
          <w:color w:val="auto"/>
        </w:rPr>
      </w:pPr>
      <w:r>
        <w:rPr>
          <w:rFonts w:ascii="Times New Roman" w:cs="Times New Roman" w:eastAsia="Times New Roman" w:hAnsi="Times New Roman"/>
          <w:sz w:val="20"/>
          <w:szCs w:val="20"/>
          <w:color w:val="auto"/>
        </w:rPr>
        <w:t xml:space="preserve">delivery of previously owned shares of the Common Stock as further described in </w:t>
      </w:r>
      <w:r>
        <w:rPr>
          <w:rFonts w:ascii="Times New Roman" w:cs="Times New Roman" w:eastAsia="Times New Roman" w:hAnsi="Times New Roman"/>
          <w:sz w:val="20"/>
          <w:szCs w:val="20"/>
          <w:u w:val="single" w:color="auto"/>
          <w:color w:val="auto"/>
        </w:rPr>
        <w:t>Section 4(c)(iii) </w:t>
      </w:r>
      <w:r>
        <w:rPr>
          <w:rFonts w:ascii="Times New Roman" w:cs="Times New Roman" w:eastAsia="Times New Roman" w:hAnsi="Times New Roman"/>
          <w:sz w:val="20"/>
          <w:szCs w:val="20"/>
          <w:color w:val="auto"/>
        </w:rPr>
        <w:t>of the</w:t>
      </w:r>
    </w:p>
    <w:p>
      <w:pPr>
        <w:ind w:left="200"/>
        <w:spacing w:after="0"/>
        <w:rPr>
          <w:sz w:val="20"/>
          <w:szCs w:val="20"/>
          <w:color w:val="auto"/>
        </w:rPr>
      </w:pPr>
      <w:r>
        <w:rPr>
          <w:rFonts w:ascii="Times New Roman" w:cs="Times New Roman" w:eastAsia="Times New Roman" w:hAnsi="Times New Roman"/>
          <w:sz w:val="20"/>
          <w:szCs w:val="20"/>
          <w:color w:val="auto"/>
        </w:rPr>
        <w:t>Plan; or</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160"/>
        <w:spacing w:after="0"/>
        <w:rPr>
          <w:sz w:val="20"/>
          <w:szCs w:val="20"/>
          <w:color w:val="auto"/>
        </w:rPr>
      </w:pPr>
      <w:r>
        <w:rPr>
          <w:rFonts w:ascii="Times New Roman" w:cs="Times New Roman" w:eastAsia="Times New Roman" w:hAnsi="Times New Roman"/>
          <w:sz w:val="19"/>
          <w:szCs w:val="19"/>
          <w:b w:val="1"/>
          <w:bCs w:val="1"/>
          <w:color w:val="auto"/>
        </w:rPr>
        <w:t>(iv)           </w:t>
      </w:r>
      <w:r>
        <w:rPr>
          <w:rFonts w:ascii="Times New Roman" w:cs="Times New Roman" w:eastAsia="Times New Roman" w:hAnsi="Times New Roman"/>
          <w:sz w:val="19"/>
          <w:szCs w:val="19"/>
          <w:color w:val="auto"/>
        </w:rPr>
        <w:t>subject to Company and/or Committee consent at the time of exercise, if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Option is a Nonstatutory Stock Option, by a “net exercise” arrangement as further described in </w:t>
      </w:r>
      <w:r>
        <w:rPr>
          <w:rFonts w:ascii="Times New Roman" w:cs="Times New Roman" w:eastAsia="Times New Roman" w:hAnsi="Times New Roman"/>
          <w:sz w:val="20"/>
          <w:szCs w:val="20"/>
          <w:u w:val="single" w:color="auto"/>
          <w:color w:val="auto"/>
        </w:rPr>
        <w:t>Section 4(c)</w:t>
      </w:r>
    </w:p>
    <w:p>
      <w:pPr>
        <w:ind w:left="200"/>
        <w:spacing w:after="0"/>
        <w:rPr>
          <w:sz w:val="20"/>
          <w:szCs w:val="20"/>
          <w:color w:val="auto"/>
        </w:rPr>
      </w:pPr>
      <w:r>
        <w:rPr>
          <w:rFonts w:ascii="Times New Roman" w:cs="Times New Roman" w:eastAsia="Times New Roman" w:hAnsi="Times New Roman"/>
          <w:sz w:val="20"/>
          <w:szCs w:val="20"/>
          <w:u w:val="single" w:color="auto"/>
          <w:color w:val="auto"/>
        </w:rPr>
        <w:t>(iv) </w:t>
      </w:r>
      <w:r>
        <w:rPr>
          <w:rFonts w:ascii="Times New Roman" w:cs="Times New Roman" w:eastAsia="Times New Roman" w:hAnsi="Times New Roman"/>
          <w:sz w:val="20"/>
          <w:szCs w:val="20"/>
          <w:color w:val="auto"/>
        </w:rPr>
        <w:t>of the Plan.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19"/>
          <w:szCs w:val="19"/>
          <w:b w:val="1"/>
          <w:bCs w:val="1"/>
          <w:color w:val="auto"/>
        </w:rPr>
        <w:t>(c)            </w:t>
      </w:r>
      <w:r>
        <w:rPr>
          <w:rFonts w:ascii="Times New Roman" w:cs="Times New Roman" w:eastAsia="Times New Roman" w:hAnsi="Times New Roman"/>
          <w:sz w:val="19"/>
          <w:szCs w:val="19"/>
          <w:color w:val="auto"/>
        </w:rPr>
        <w:t>By accepting your Option, you agree that you will not sell, dispose of, transfer, make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any short sale of, grant any option for the purchase of, or enter into any hedging or similar transaction with</w:t>
      </w:r>
    </w:p>
    <w:p>
      <w:pPr>
        <w:ind w:left="200"/>
        <w:spacing w:after="0"/>
        <w:rPr>
          <w:sz w:val="20"/>
          <w:szCs w:val="20"/>
          <w:color w:val="auto"/>
        </w:rPr>
      </w:pPr>
      <w:r>
        <w:rPr>
          <w:rFonts w:ascii="Times New Roman" w:cs="Times New Roman" w:eastAsia="Times New Roman" w:hAnsi="Times New Roman"/>
          <w:sz w:val="19"/>
          <w:szCs w:val="19"/>
          <w:color w:val="auto"/>
        </w:rPr>
        <w:t>the same economic effect as a sale with respect to any shares of the Common Stock or other securities of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Company held by you, for a period of one hundred eighty (180) days following the effective date of a</w:t>
      </w:r>
    </w:p>
    <w:p>
      <w:pPr>
        <w:ind w:left="200"/>
        <w:spacing w:after="0"/>
        <w:rPr>
          <w:sz w:val="20"/>
          <w:szCs w:val="20"/>
          <w:color w:val="auto"/>
        </w:rPr>
      </w:pPr>
      <w:r>
        <w:rPr>
          <w:rFonts w:ascii="Times New Roman" w:cs="Times New Roman" w:eastAsia="Times New Roman" w:hAnsi="Times New Roman"/>
          <w:sz w:val="20"/>
          <w:szCs w:val="20"/>
          <w:color w:val="auto"/>
        </w:rPr>
        <w:t>registration statement of the Company filed under the Securities Act or such longer period as the</w:t>
      </w:r>
    </w:p>
    <w:p>
      <w:pPr>
        <w:ind w:left="200"/>
        <w:spacing w:after="0"/>
        <w:rPr>
          <w:sz w:val="20"/>
          <w:szCs w:val="20"/>
          <w:color w:val="auto"/>
        </w:rPr>
      </w:pPr>
      <w:r>
        <w:rPr>
          <w:rFonts w:ascii="Times New Roman" w:cs="Times New Roman" w:eastAsia="Times New Roman" w:hAnsi="Times New Roman"/>
          <w:sz w:val="20"/>
          <w:szCs w:val="20"/>
          <w:color w:val="auto"/>
        </w:rPr>
        <w:t>underwriters or the Company will request to facilitate compliance with FINRA Rule 2241 or any successor</w:t>
      </w:r>
    </w:p>
    <w:p>
      <w:pPr>
        <w:ind w:left="200"/>
        <w:spacing w:after="0"/>
        <w:rPr>
          <w:sz w:val="20"/>
          <w:szCs w:val="20"/>
          <w:color w:val="auto"/>
        </w:rPr>
      </w:pPr>
      <w:r>
        <w:rPr>
          <w:rFonts w:ascii="Times New Roman" w:cs="Times New Roman" w:eastAsia="Times New Roman" w:hAnsi="Times New Roman"/>
          <w:sz w:val="20"/>
          <w:szCs w:val="20"/>
          <w:color w:val="auto"/>
        </w:rPr>
        <w:t xml:space="preserve">or similar rules or regulation (the </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nothing contained in this</w:t>
      </w:r>
    </w:p>
    <w:p>
      <w:pPr>
        <w:ind w:left="200"/>
        <w:spacing w:after="0"/>
        <w:rPr>
          <w:sz w:val="20"/>
          <w:szCs w:val="20"/>
          <w:color w:val="auto"/>
        </w:rPr>
      </w:pPr>
      <w:r>
        <w:rPr>
          <w:rFonts w:ascii="Times New Roman" w:cs="Times New Roman" w:eastAsia="Times New Roman" w:hAnsi="Times New Roman"/>
          <w:sz w:val="19"/>
          <w:szCs w:val="19"/>
          <w:color w:val="auto"/>
        </w:rPr>
        <w:t>section will prevent the exercise of a repurchase option, if any, in favor of the Company during the Lock-Up</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Period. You further agree to execute and deliver such other agreements as may be reasonably requested by</w:t>
      </w:r>
    </w:p>
    <w:p>
      <w:pPr>
        <w:ind w:left="200"/>
        <w:spacing w:after="0"/>
        <w:rPr>
          <w:sz w:val="20"/>
          <w:szCs w:val="20"/>
          <w:color w:val="auto"/>
        </w:rPr>
      </w:pPr>
      <w:r>
        <w:rPr>
          <w:rFonts w:ascii="Times New Roman" w:cs="Times New Roman" w:eastAsia="Times New Roman" w:hAnsi="Times New Roman"/>
          <w:sz w:val="20"/>
          <w:szCs w:val="20"/>
          <w:color w:val="auto"/>
        </w:rPr>
        <w:t>the Company or the underwriters that are consistent with the foregoing or that are necessary to give further</w:t>
      </w:r>
    </w:p>
    <w:p>
      <w:pPr>
        <w:ind w:left="200"/>
        <w:spacing w:after="0"/>
        <w:rPr>
          <w:sz w:val="20"/>
          <w:szCs w:val="20"/>
          <w:color w:val="auto"/>
        </w:rPr>
      </w:pPr>
      <w:r>
        <w:rPr>
          <w:rFonts w:ascii="Times New Roman" w:cs="Times New Roman" w:eastAsia="Times New Roman" w:hAnsi="Times New Roman"/>
          <w:sz w:val="20"/>
          <w:szCs w:val="20"/>
          <w:color w:val="auto"/>
        </w:rPr>
        <w:t>effect thereto. In order to enforce the foregoing covenant, the Company may impose stop-transfer</w:t>
      </w:r>
    </w:p>
    <w:p>
      <w:pPr>
        <w:ind w:left="200"/>
        <w:spacing w:after="0"/>
        <w:rPr>
          <w:sz w:val="20"/>
          <w:szCs w:val="20"/>
          <w:color w:val="auto"/>
        </w:rPr>
      </w:pPr>
      <w:r>
        <w:rPr>
          <w:rFonts w:ascii="Times New Roman" w:cs="Times New Roman" w:eastAsia="Times New Roman" w:hAnsi="Times New Roman"/>
          <w:sz w:val="20"/>
          <w:szCs w:val="20"/>
          <w:color w:val="auto"/>
        </w:rPr>
        <w:t>instructions with respect to your shares of the Common Stock until the end of such period. You also agree</w:t>
      </w:r>
    </w:p>
    <w:p>
      <w:pPr>
        <w:ind w:left="200"/>
        <w:spacing w:after="0"/>
        <w:rPr>
          <w:sz w:val="20"/>
          <w:szCs w:val="20"/>
          <w:color w:val="auto"/>
        </w:rPr>
      </w:pPr>
      <w:r>
        <w:rPr>
          <w:rFonts w:ascii="Times New Roman" w:cs="Times New Roman" w:eastAsia="Times New Roman" w:hAnsi="Times New Roman"/>
          <w:sz w:val="20"/>
          <w:szCs w:val="20"/>
          <w:color w:val="auto"/>
        </w:rPr>
        <w:t>that any transferee of any shares of the Common Stock (or other securities) of the Company held by you</w:t>
      </w:r>
    </w:p>
    <w:p>
      <w:pPr>
        <w:ind w:left="200"/>
        <w:spacing w:after="0"/>
        <w:rPr>
          <w:sz w:val="20"/>
          <w:szCs w:val="20"/>
          <w:color w:val="auto"/>
        </w:rPr>
      </w:pPr>
      <w:r>
        <w:rPr>
          <w:rFonts w:ascii="Times New Roman" w:cs="Times New Roman" w:eastAsia="Times New Roman" w:hAnsi="Times New Roman"/>
          <w:sz w:val="20"/>
          <w:szCs w:val="20"/>
          <w:color w:val="auto"/>
        </w:rPr>
        <w:t xml:space="preserve">will be bound by this </w:t>
      </w:r>
      <w:r>
        <w:rPr>
          <w:rFonts w:ascii="Times New Roman" w:cs="Times New Roman" w:eastAsia="Times New Roman" w:hAnsi="Times New Roman"/>
          <w:sz w:val="20"/>
          <w:szCs w:val="20"/>
          <w:u w:val="single" w:color="auto"/>
          <w:color w:val="auto"/>
        </w:rPr>
        <w:t>Section 3(c)</w:t>
      </w:r>
      <w:r>
        <w:rPr>
          <w:rFonts w:ascii="Times New Roman" w:cs="Times New Roman" w:eastAsia="Times New Roman" w:hAnsi="Times New Roman"/>
          <w:sz w:val="20"/>
          <w:szCs w:val="20"/>
          <w:color w:val="auto"/>
        </w:rPr>
        <w:t>. The underwriters of the Company’s stock are intended third party</w:t>
      </w:r>
    </w:p>
    <w:p>
      <w:pPr>
        <w:ind w:left="200"/>
        <w:spacing w:after="0"/>
        <w:rPr>
          <w:sz w:val="20"/>
          <w:szCs w:val="20"/>
          <w:color w:val="auto"/>
        </w:rPr>
      </w:pPr>
      <w:r>
        <w:rPr>
          <w:rFonts w:ascii="Times New Roman" w:cs="Times New Roman" w:eastAsia="Times New Roman" w:hAnsi="Times New Roman"/>
          <w:sz w:val="20"/>
          <w:szCs w:val="20"/>
          <w:color w:val="auto"/>
        </w:rPr>
        <w:t xml:space="preserve">beneficiaries of this </w:t>
      </w:r>
      <w:r>
        <w:rPr>
          <w:rFonts w:ascii="Times New Roman" w:cs="Times New Roman" w:eastAsia="Times New Roman" w:hAnsi="Times New Roman"/>
          <w:sz w:val="20"/>
          <w:szCs w:val="20"/>
          <w:u w:val="single" w:color="auto"/>
          <w:color w:val="auto"/>
        </w:rPr>
        <w:t>Section 3(c) </w:t>
      </w:r>
      <w:r>
        <w:rPr>
          <w:rFonts w:ascii="Times New Roman" w:cs="Times New Roman" w:eastAsia="Times New Roman" w:hAnsi="Times New Roman"/>
          <w:sz w:val="20"/>
          <w:szCs w:val="20"/>
          <w:color w:val="auto"/>
        </w:rPr>
        <w:t>and will have the right, power and authority to enforce the provisions</w:t>
      </w:r>
    </w:p>
    <w:p>
      <w:pPr>
        <w:ind w:left="200"/>
        <w:spacing w:after="0"/>
        <w:rPr>
          <w:sz w:val="20"/>
          <w:szCs w:val="20"/>
          <w:color w:val="auto"/>
        </w:rPr>
      </w:pPr>
      <w:r>
        <w:rPr>
          <w:rFonts w:ascii="Times New Roman" w:cs="Times New Roman" w:eastAsia="Times New Roman" w:hAnsi="Times New Roman"/>
          <w:sz w:val="20"/>
          <w:szCs w:val="20"/>
          <w:color w:val="auto"/>
        </w:rPr>
        <w:t>hereof as though they were a party hereto.</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4.             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may not exercise your Option before the commencement of its term or after its</w:t>
      </w:r>
    </w:p>
    <w:p>
      <w:pPr>
        <w:ind w:left="200"/>
        <w:spacing w:after="0"/>
        <w:rPr>
          <w:sz w:val="20"/>
          <w:szCs w:val="20"/>
          <w:color w:val="auto"/>
        </w:rPr>
      </w:pPr>
      <w:r>
        <w:rPr>
          <w:rFonts w:ascii="Times New Roman" w:cs="Times New Roman" w:eastAsia="Times New Roman" w:hAnsi="Times New Roman"/>
          <w:sz w:val="20"/>
          <w:szCs w:val="20"/>
          <w:color w:val="auto"/>
        </w:rPr>
        <w:t>term expires. The term of your Option commences on the Date of Grant and expires upon the earliest of the</w:t>
      </w:r>
    </w:p>
    <w:p>
      <w:pPr>
        <w:ind w:left="200"/>
        <w:spacing w:after="0"/>
        <w:rPr>
          <w:sz w:val="20"/>
          <w:szCs w:val="20"/>
          <w:color w:val="auto"/>
        </w:rPr>
      </w:pPr>
      <w:r>
        <w:rPr>
          <w:rFonts w:ascii="Times New Roman" w:cs="Times New Roman" w:eastAsia="Times New Roman" w:hAnsi="Times New Roman"/>
          <w:sz w:val="20"/>
          <w:szCs w:val="20"/>
          <w:color w:val="auto"/>
        </w:rPr>
        <w:t>following:</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immediately upon the termination of your Continuous Service for Cause;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19"/>
          <w:szCs w:val="19"/>
          <w:b w:val="1"/>
          <w:bCs w:val="1"/>
          <w:color w:val="auto"/>
        </w:rPr>
        <w:t>(b)            </w:t>
      </w:r>
      <w:r>
        <w:rPr>
          <w:rFonts w:ascii="Times New Roman" w:cs="Times New Roman" w:eastAsia="Times New Roman" w:hAnsi="Times New Roman"/>
          <w:sz w:val="19"/>
          <w:szCs w:val="19"/>
          <w:color w:val="auto"/>
        </w:rPr>
        <w:t>three months after the termination of your Continuous Service for any reason other</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than Cause, Disability or death;</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19"/>
          <w:szCs w:val="19"/>
          <w:b w:val="1"/>
          <w:bCs w:val="1"/>
          <w:color w:val="auto"/>
        </w:rPr>
        <w:t>(c)            </w:t>
      </w:r>
      <w:r>
        <w:rPr>
          <w:rFonts w:ascii="Times New Roman" w:cs="Times New Roman" w:eastAsia="Times New Roman" w:hAnsi="Times New Roman"/>
          <w:sz w:val="19"/>
          <w:szCs w:val="19"/>
          <w:color w:val="auto"/>
        </w:rPr>
        <w:t>12 months after the termination of your Continuous Service due to your Disability;</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            </w:t>
      </w:r>
      <w:r>
        <w:rPr>
          <w:rFonts w:ascii="Times New Roman" w:cs="Times New Roman" w:eastAsia="Times New Roman" w:hAnsi="Times New Roman"/>
          <w:sz w:val="20"/>
          <w:szCs w:val="20"/>
          <w:color w:val="auto"/>
        </w:rPr>
        <w:t>18 months after your death if you die during your Continuous Service;</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1296"/>
        <w:spacing w:after="0" w:line="246" w:lineRule="auto"/>
        <w:rPr>
          <w:sz w:val="20"/>
          <w:szCs w:val="20"/>
          <w:color w:val="auto"/>
        </w:rPr>
      </w:pPr>
      <w:r>
        <w:rPr>
          <w:rFonts w:ascii="Times New Roman" w:cs="Times New Roman" w:eastAsia="Times New Roman" w:hAnsi="Times New Roman"/>
          <w:sz w:val="20"/>
          <w:szCs w:val="20"/>
          <w:b w:val="1"/>
          <w:bCs w:val="1"/>
          <w:color w:val="auto"/>
        </w:rPr>
        <w:t>(e)            </w:t>
      </w:r>
      <w:r>
        <w:rPr>
          <w:rFonts w:ascii="Times New Roman" w:cs="Times New Roman" w:eastAsia="Times New Roman" w:hAnsi="Times New Roman"/>
          <w:sz w:val="20"/>
          <w:szCs w:val="20"/>
          <w:color w:val="auto"/>
        </w:rPr>
        <w:t>immediately upon a Corporate Transaction if the Board has determined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will terminate in connection with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481330</wp:posOffset>
            </wp:positionV>
            <wp:extent cx="545211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73" w:name="page274"/>
    <w:bookmarkEnd w:id="273"/>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(f)            </w:t>
      </w:r>
      <w:r>
        <w:rPr>
          <w:rFonts w:ascii="Times New Roman" w:cs="Times New Roman" w:eastAsia="Times New Roman" w:hAnsi="Times New Roman"/>
          <w:sz w:val="20"/>
          <w:szCs w:val="20"/>
          <w:color w:val="auto"/>
        </w:rPr>
        <w:t>the Expiration Date indicated in your Grant Notice; or</w:t>
      </w:r>
    </w:p>
    <w:p>
      <w:pPr>
        <w:ind w:left="200"/>
        <w:spacing w:after="0" w:line="238" w:lineRule="auto"/>
        <w:rPr>
          <w:sz w:val="20"/>
          <w:szCs w:val="20"/>
          <w:color w:val="auto"/>
        </w:rPr>
      </w:pPr>
      <w:r>
        <w:rPr>
          <w:rFonts w:ascii="Times New Roman" w:cs="Times New Roman" w:eastAsia="Times New Roman" w:hAnsi="Times New Roman"/>
          <w:sz w:val="20"/>
          <w:szCs w:val="20"/>
          <w:color w:val="auto"/>
        </w:rPr>
        <w:t> </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(g)            </w:t>
      </w:r>
      <w:r>
        <w:rPr>
          <w:rFonts w:ascii="Times New Roman" w:cs="Times New Roman" w:eastAsia="Times New Roman" w:hAnsi="Times New Roman"/>
          <w:sz w:val="20"/>
          <w:szCs w:val="20"/>
          <w:color w:val="auto"/>
        </w:rPr>
        <w:t>the day before the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of the Date of Grant.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color w:val="auto"/>
        </w:rPr>
        <w:t xml:space="preserve">Notwithstanding the foregoing, if you die during the period provided in </w:t>
      </w:r>
      <w:r>
        <w:rPr>
          <w:rFonts w:ascii="Times New Roman" w:cs="Times New Roman" w:eastAsia="Times New Roman" w:hAnsi="Times New Roman"/>
          <w:sz w:val="20"/>
          <w:szCs w:val="20"/>
          <w:u w:val="single" w:color="auto"/>
          <w:color w:val="auto"/>
        </w:rPr>
        <w:t>Section 3(b) </w:t>
      </w: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3(c) </w:t>
      </w:r>
      <w:r>
        <w:rPr>
          <w:rFonts w:ascii="Times New Roman" w:cs="Times New Roman" w:eastAsia="Times New Roman" w:hAnsi="Times New Roman"/>
          <w:sz w:val="20"/>
          <w:szCs w:val="20"/>
          <w:color w:val="auto"/>
        </w:rPr>
        <w:t xml:space="preserve">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w:t>
      </w:r>
      <w:r>
        <w:rPr>
          <w:rFonts w:ascii="Times New Roman" w:cs="Times New Roman" w:eastAsia="Times New Roman" w:hAnsi="Times New Roman"/>
          <w:sz w:val="20"/>
          <w:szCs w:val="20"/>
          <w:u w:val="single" w:color="auto"/>
          <w:color w:val="auto"/>
        </w:rPr>
        <w:t>Section 4(i) </w:t>
      </w:r>
      <w:r>
        <w:rPr>
          <w:rFonts w:ascii="Times New Roman" w:cs="Times New Roman" w:eastAsia="Times New Roman" w:hAnsi="Times New Roman"/>
          <w:sz w:val="20"/>
          <w:szCs w:val="20"/>
          <w:color w:val="auto"/>
        </w:rPr>
        <w:t>of the Plan.  </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To obtain the federal income tax advantages associated with an Incentive Stock Option, the Code</w:t>
      </w:r>
    </w:p>
    <w:p>
      <w:pPr>
        <w:ind w:left="200"/>
        <w:spacing w:after="0"/>
        <w:rPr>
          <w:sz w:val="20"/>
          <w:szCs w:val="20"/>
          <w:color w:val="auto"/>
        </w:rPr>
      </w:pPr>
      <w:r>
        <w:rPr>
          <w:rFonts w:ascii="Times New Roman" w:cs="Times New Roman" w:eastAsia="Times New Roman" w:hAnsi="Times New Roman"/>
          <w:sz w:val="20"/>
          <w:szCs w:val="20"/>
          <w:color w:val="auto"/>
        </w:rPr>
        <w:t>requires that at all times beginning on the date of grant of your Option and ending on the day three months</w:t>
      </w:r>
    </w:p>
    <w:p>
      <w:pPr>
        <w:ind w:left="200"/>
        <w:spacing w:after="0"/>
        <w:rPr>
          <w:sz w:val="20"/>
          <w:szCs w:val="20"/>
          <w:color w:val="auto"/>
        </w:rPr>
      </w:pPr>
      <w:r>
        <w:rPr>
          <w:rFonts w:ascii="Times New Roman" w:cs="Times New Roman" w:eastAsia="Times New Roman" w:hAnsi="Times New Roman"/>
          <w:sz w:val="20"/>
          <w:szCs w:val="20"/>
          <w:color w:val="auto"/>
        </w:rPr>
        <w:t>before the date of your Option’s exercise, you must be an employee of the Company or an Affiliate, except</w:t>
      </w:r>
    </w:p>
    <w:p>
      <w:pPr>
        <w:ind w:left="200"/>
        <w:spacing w:after="0"/>
        <w:rPr>
          <w:sz w:val="20"/>
          <w:szCs w:val="20"/>
          <w:color w:val="auto"/>
        </w:rPr>
      </w:pPr>
      <w:r>
        <w:rPr>
          <w:rFonts w:ascii="Times New Roman" w:cs="Times New Roman" w:eastAsia="Times New Roman" w:hAnsi="Times New Roman"/>
          <w:sz w:val="20"/>
          <w:szCs w:val="20"/>
          <w:color w:val="auto"/>
        </w:rPr>
        <w:t>in the event of your death or Disability. If the Company provides for the extended exercisability of your</w:t>
      </w:r>
    </w:p>
    <w:p>
      <w:pPr>
        <w:ind w:left="200"/>
        <w:spacing w:after="0"/>
        <w:rPr>
          <w:sz w:val="20"/>
          <w:szCs w:val="20"/>
          <w:color w:val="auto"/>
        </w:rPr>
      </w:pPr>
      <w:r>
        <w:rPr>
          <w:rFonts w:ascii="Times New Roman" w:cs="Times New Roman" w:eastAsia="Times New Roman" w:hAnsi="Times New Roman"/>
          <w:sz w:val="20"/>
          <w:szCs w:val="20"/>
          <w:color w:val="auto"/>
        </w:rPr>
        <w:t>Option under certain circumstances for your benefit, your Option will not necessarily be treated as an</w:t>
      </w:r>
    </w:p>
    <w:p>
      <w:pPr>
        <w:ind w:left="200"/>
        <w:spacing w:after="0"/>
        <w:rPr>
          <w:sz w:val="20"/>
          <w:szCs w:val="20"/>
          <w:color w:val="auto"/>
        </w:rPr>
      </w:pPr>
      <w:r>
        <w:rPr>
          <w:rFonts w:ascii="Times New Roman" w:cs="Times New Roman" w:eastAsia="Times New Roman" w:hAnsi="Times New Roman"/>
          <w:sz w:val="19"/>
          <w:szCs w:val="19"/>
          <w:color w:val="auto"/>
        </w:rPr>
        <w:t>Incentive Stock Option if you exercise your Option more than three months after the date your employment</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terminates.</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5.             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further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(a) you may not</w:t>
      </w:r>
    </w:p>
    <w:p>
      <w:pPr>
        <w:ind w:left="200"/>
        <w:spacing w:after="0"/>
        <w:rPr>
          <w:sz w:val="20"/>
          <w:szCs w:val="20"/>
          <w:color w:val="auto"/>
        </w:rPr>
      </w:pPr>
      <w:r>
        <w:rPr>
          <w:rFonts w:ascii="Times New Roman" w:cs="Times New Roman" w:eastAsia="Times New Roman" w:hAnsi="Times New Roman"/>
          <w:sz w:val="20"/>
          <w:szCs w:val="20"/>
          <w:color w:val="auto"/>
        </w:rPr>
        <w:t>exercise your Option unless the applicable tax withholding obligations are satisfied, and (b) at the time you</w:t>
      </w:r>
    </w:p>
    <w:p>
      <w:pPr>
        <w:ind w:left="200"/>
        <w:spacing w:after="0"/>
        <w:rPr>
          <w:sz w:val="20"/>
          <w:szCs w:val="20"/>
          <w:color w:val="auto"/>
        </w:rPr>
      </w:pPr>
      <w:r>
        <w:rPr>
          <w:rFonts w:ascii="Times New Roman" w:cs="Times New Roman" w:eastAsia="Times New Roman" w:hAnsi="Times New Roman"/>
          <w:sz w:val="19"/>
          <w:szCs w:val="19"/>
          <w:color w:val="auto"/>
        </w:rPr>
        <w:t>exercise your Option, in whole or in part, or at any time thereafter as requested by the Company, you hereby</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authorize withholding from payroll and any other amounts payable to you, and otherwise agree to make</w:t>
      </w:r>
    </w:p>
    <w:p>
      <w:pPr>
        <w:ind w:left="200"/>
        <w:spacing w:after="0"/>
        <w:rPr>
          <w:sz w:val="20"/>
          <w:szCs w:val="20"/>
          <w:color w:val="auto"/>
        </w:rPr>
      </w:pPr>
      <w:r>
        <w:rPr>
          <w:rFonts w:ascii="Times New Roman" w:cs="Times New Roman" w:eastAsia="Times New Roman" w:hAnsi="Times New Roman"/>
          <w:sz w:val="19"/>
          <w:szCs w:val="19"/>
          <w:color w:val="auto"/>
        </w:rPr>
        <w:t>adequate provision for (including by means of a “cashless exercise” pursuant to a program developed under</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Regulation T as promulgated by the Federal Reserve Board to the extent permitted by the Company), any</w:t>
      </w:r>
    </w:p>
    <w:p>
      <w:pPr>
        <w:ind w:left="200"/>
        <w:spacing w:after="0"/>
        <w:rPr>
          <w:sz w:val="20"/>
          <w:szCs w:val="20"/>
          <w:color w:val="auto"/>
        </w:rPr>
      </w:pPr>
      <w:r>
        <w:rPr>
          <w:rFonts w:ascii="Times New Roman" w:cs="Times New Roman" w:eastAsia="Times New Roman" w:hAnsi="Times New Roman"/>
          <w:sz w:val="20"/>
          <w:szCs w:val="20"/>
          <w:color w:val="auto"/>
        </w:rPr>
        <w:t>sums required to satisfy the federal, state, local and foreign tax withholding obligations, if any, which arise</w:t>
      </w:r>
    </w:p>
    <w:p>
      <w:pPr>
        <w:ind w:left="200"/>
        <w:spacing w:after="0"/>
        <w:rPr>
          <w:sz w:val="20"/>
          <w:szCs w:val="20"/>
          <w:color w:val="auto"/>
        </w:rPr>
      </w:pPr>
      <w:r>
        <w:rPr>
          <w:rFonts w:ascii="Times New Roman" w:cs="Times New Roman" w:eastAsia="Times New Roman" w:hAnsi="Times New Roman"/>
          <w:sz w:val="20"/>
          <w:szCs w:val="20"/>
          <w:color w:val="auto"/>
        </w:rPr>
        <w:t>in connection with the exercise of your Option in accordance with the withholding procedures established</w:t>
      </w:r>
    </w:p>
    <w:p>
      <w:pPr>
        <w:ind w:left="200"/>
        <w:spacing w:after="0"/>
        <w:rPr>
          <w:sz w:val="20"/>
          <w:szCs w:val="20"/>
          <w:color w:val="auto"/>
        </w:rPr>
      </w:pPr>
      <w:r>
        <w:rPr>
          <w:rFonts w:ascii="Times New Roman" w:cs="Times New Roman" w:eastAsia="Times New Roman" w:hAnsi="Times New Roman"/>
          <w:sz w:val="20"/>
          <w:szCs w:val="20"/>
          <w:color w:val="auto"/>
        </w:rPr>
        <w:t>by the Company. Accordingly, you may not be able to exercise your Option even though the Option is</w:t>
      </w:r>
    </w:p>
    <w:p>
      <w:pPr>
        <w:ind w:left="200"/>
        <w:spacing w:after="0"/>
        <w:rPr>
          <w:sz w:val="20"/>
          <w:szCs w:val="20"/>
          <w:color w:val="auto"/>
        </w:rPr>
      </w:pPr>
      <w:r>
        <w:rPr>
          <w:rFonts w:ascii="Times New Roman" w:cs="Times New Roman" w:eastAsia="Times New Roman" w:hAnsi="Times New Roman"/>
          <w:sz w:val="20"/>
          <w:szCs w:val="20"/>
          <w:color w:val="auto"/>
        </w:rPr>
        <w:t>vested, and the Company shall have no obligation to issue shares of the Common Stock subject to your</w:t>
      </w:r>
    </w:p>
    <w:p>
      <w:pPr>
        <w:ind w:left="200"/>
        <w:spacing w:after="0"/>
        <w:rPr>
          <w:sz w:val="20"/>
          <w:szCs w:val="20"/>
          <w:color w:val="auto"/>
        </w:rPr>
      </w:pPr>
      <w:r>
        <w:rPr>
          <w:rFonts w:ascii="Times New Roman" w:cs="Times New Roman" w:eastAsia="Times New Roman" w:hAnsi="Times New Roman"/>
          <w:sz w:val="20"/>
          <w:szCs w:val="20"/>
          <w:color w:val="auto"/>
        </w:rPr>
        <w:t>Option, unless and until such obligations are satisfied. In the event that the amount of the Company’s</w:t>
      </w:r>
    </w:p>
    <w:p>
      <w:pPr>
        <w:ind w:left="200"/>
        <w:spacing w:after="0"/>
        <w:rPr>
          <w:sz w:val="20"/>
          <w:szCs w:val="20"/>
          <w:color w:val="auto"/>
        </w:rPr>
      </w:pPr>
      <w:r>
        <w:rPr>
          <w:rFonts w:ascii="Times New Roman" w:cs="Times New Roman" w:eastAsia="Times New Roman" w:hAnsi="Times New Roman"/>
          <w:sz w:val="19"/>
          <w:szCs w:val="19"/>
          <w:color w:val="auto"/>
        </w:rPr>
        <w:t>withholding obligation in connection with your Option was greater than the amount actually withheld by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Company, you agree to indemnify and hold the Company harmless from any failure by the Company to</w:t>
      </w:r>
    </w:p>
    <w:p>
      <w:pPr>
        <w:ind w:left="200"/>
        <w:spacing w:after="0"/>
        <w:rPr>
          <w:sz w:val="20"/>
          <w:szCs w:val="20"/>
          <w:color w:val="auto"/>
        </w:rPr>
      </w:pPr>
      <w:r>
        <w:rPr>
          <w:rFonts w:ascii="Times New Roman" w:cs="Times New Roman" w:eastAsia="Times New Roman" w:hAnsi="Times New Roman"/>
          <w:sz w:val="20"/>
          <w:szCs w:val="20"/>
          <w:color w:val="auto"/>
        </w:rPr>
        <w:t>withhold the proper amount.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6.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isposition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equirement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your Option is an Incentive Stock</w:t>
      </w:r>
    </w:p>
    <w:p>
      <w:pPr>
        <w:ind w:left="200"/>
        <w:spacing w:after="0"/>
        <w:rPr>
          <w:sz w:val="20"/>
          <w:szCs w:val="20"/>
          <w:color w:val="auto"/>
        </w:rPr>
      </w:pPr>
      <w:r>
        <w:rPr>
          <w:rFonts w:ascii="Times New Roman" w:cs="Times New Roman" w:eastAsia="Times New Roman" w:hAnsi="Times New Roman"/>
          <w:sz w:val="20"/>
          <w:szCs w:val="20"/>
          <w:color w:val="auto"/>
        </w:rPr>
        <w:t>Option, you must notify the Company in writing within 15 days after the date of any disposition of any of</w:t>
      </w:r>
    </w:p>
    <w:p>
      <w:pPr>
        <w:ind w:left="200"/>
        <w:spacing w:after="0"/>
        <w:rPr>
          <w:sz w:val="20"/>
          <w:szCs w:val="20"/>
          <w:color w:val="auto"/>
        </w:rPr>
      </w:pPr>
      <w:r>
        <w:rPr>
          <w:rFonts w:ascii="Times New Roman" w:cs="Times New Roman" w:eastAsia="Times New Roman" w:hAnsi="Times New Roman"/>
          <w:sz w:val="20"/>
          <w:szCs w:val="20"/>
          <w:color w:val="auto"/>
        </w:rPr>
        <w:t>the shares of the Common Stock issued upon exercise of your Option that occurs within two years after the</w:t>
      </w:r>
    </w:p>
    <w:p>
      <w:pPr>
        <w:ind w:left="200"/>
        <w:spacing w:after="0"/>
        <w:rPr>
          <w:sz w:val="20"/>
          <w:szCs w:val="20"/>
          <w:color w:val="auto"/>
        </w:rPr>
      </w:pPr>
      <w:r>
        <w:rPr>
          <w:rFonts w:ascii="Times New Roman" w:cs="Times New Roman" w:eastAsia="Times New Roman" w:hAnsi="Times New Roman"/>
          <w:sz w:val="20"/>
          <w:szCs w:val="20"/>
          <w:color w:val="auto"/>
        </w:rPr>
        <w:t>date of your Option grant or within one year after such shares of the Common Stock are transferred upon</w:t>
      </w:r>
    </w:p>
    <w:p>
      <w:pPr>
        <w:ind w:left="200"/>
        <w:spacing w:after="0"/>
        <w:rPr>
          <w:sz w:val="20"/>
          <w:szCs w:val="20"/>
          <w:color w:val="auto"/>
        </w:rPr>
      </w:pPr>
      <w:r>
        <w:rPr>
          <w:rFonts w:ascii="Times New Roman" w:cs="Times New Roman" w:eastAsia="Times New Roman" w:hAnsi="Times New Roman"/>
          <w:sz w:val="20"/>
          <w:szCs w:val="20"/>
          <w:color w:val="auto"/>
        </w:rPr>
        <w:t>exercise of your Option.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7.             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4(e) </w:t>
      </w:r>
      <w:r>
        <w:rPr>
          <w:rFonts w:ascii="Times New Roman" w:cs="Times New Roman" w:eastAsia="Times New Roman" w:hAnsi="Times New Roman"/>
          <w:sz w:val="20"/>
          <w:szCs w:val="20"/>
          <w:color w:val="auto"/>
        </w:rPr>
        <w:t>of the Plan, your Option is not</w:t>
      </w:r>
    </w:p>
    <w:p>
      <w:pPr>
        <w:ind w:left="200"/>
        <w:spacing w:after="0"/>
        <w:rPr>
          <w:sz w:val="20"/>
          <w:szCs w:val="20"/>
          <w:color w:val="auto"/>
        </w:rPr>
      </w:pPr>
      <w:r>
        <w:rPr>
          <w:rFonts w:ascii="Times New Roman" w:cs="Times New Roman" w:eastAsia="Times New Roman" w:hAnsi="Times New Roman"/>
          <w:sz w:val="20"/>
          <w:szCs w:val="20"/>
          <w:color w:val="auto"/>
        </w:rPr>
        <w:t>transferable, except by will or by the applicable laws of descent and distribution, and is exercisable during</w:t>
      </w:r>
    </w:p>
    <w:p>
      <w:pPr>
        <w:ind w:left="200"/>
        <w:spacing w:after="0"/>
        <w:rPr>
          <w:sz w:val="20"/>
          <w:szCs w:val="20"/>
          <w:color w:val="auto"/>
        </w:rPr>
      </w:pPr>
      <w:r>
        <w:rPr>
          <w:rFonts w:ascii="Times New Roman" w:cs="Times New Roman" w:eastAsia="Times New Roman" w:hAnsi="Times New Roman"/>
          <w:sz w:val="20"/>
          <w:szCs w:val="20"/>
          <w:color w:val="auto"/>
        </w:rPr>
        <w:t>your life only by you.</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8.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Option is subject to the terms of any agreement governing a</w:t>
      </w:r>
    </w:p>
    <w:p>
      <w:pPr>
        <w:ind w:left="200"/>
        <w:spacing w:after="0"/>
        <w:rPr>
          <w:sz w:val="20"/>
          <w:szCs w:val="20"/>
          <w:color w:val="auto"/>
        </w:rPr>
      </w:pPr>
      <w:r>
        <w:rPr>
          <w:rFonts w:ascii="Times New Roman" w:cs="Times New Roman" w:eastAsia="Times New Roman" w:hAnsi="Times New Roman"/>
          <w:sz w:val="20"/>
          <w:szCs w:val="20"/>
          <w:color w:val="auto"/>
        </w:rPr>
        <w:t>Corporate  Transaction  involving  the  Company,  including,  without  limitation,  a  provision  for  the</w:t>
      </w:r>
    </w:p>
    <w:p>
      <w:pPr>
        <w:ind w:left="200"/>
        <w:spacing w:after="0"/>
        <w:rPr>
          <w:sz w:val="20"/>
          <w:szCs w:val="20"/>
          <w:color w:val="auto"/>
        </w:rPr>
      </w:pPr>
      <w:r>
        <w:rPr>
          <w:rFonts w:ascii="Times New Roman" w:cs="Times New Roman" w:eastAsia="Times New Roman" w:hAnsi="Times New Roman"/>
          <w:sz w:val="20"/>
          <w:szCs w:val="20"/>
          <w:color w:val="auto"/>
        </w:rPr>
        <w:t>appointment of a stockholder representative that is authorized to act on your behalf with respect to any</w:t>
      </w:r>
    </w:p>
    <w:p>
      <w:pPr>
        <w:ind w:left="200"/>
        <w:spacing w:after="0"/>
        <w:rPr>
          <w:sz w:val="20"/>
          <w:szCs w:val="20"/>
          <w:color w:val="auto"/>
        </w:rPr>
      </w:pPr>
      <w:r>
        <w:rPr>
          <w:rFonts w:ascii="Times New Roman" w:cs="Times New Roman" w:eastAsia="Times New Roman" w:hAnsi="Times New Roman"/>
          <w:sz w:val="20"/>
          <w:szCs w:val="20"/>
          <w:color w:val="auto"/>
        </w:rPr>
        <w:t>escrow, indemnities and any contingent consideration.</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74" w:name="page275"/>
    <w:bookmarkEnd w:id="274"/>
    <w:p>
      <w:pPr>
        <w:ind w:left="200" w:right="219"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9.             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20"/>
          <w:szCs w:val="20"/>
          <w:color w:val="auto"/>
        </w:rPr>
        <w:t>. As a condition to accepting the Option, you hereby (a) agree to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  </w:t>
      </w:r>
    </w:p>
    <w:p>
      <w:pPr>
        <w:spacing w:after="0" w:line="2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10.           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color w:val="auto"/>
        </w:rPr>
        <w:t>. If any part of this Option Agreement or the Plan is declared by any court or</w:t>
      </w:r>
    </w:p>
    <w:p>
      <w:pPr>
        <w:ind w:left="200"/>
        <w:spacing w:after="0"/>
        <w:rPr>
          <w:sz w:val="20"/>
          <w:szCs w:val="20"/>
          <w:color w:val="auto"/>
        </w:rPr>
      </w:pPr>
      <w:r>
        <w:rPr>
          <w:rFonts w:ascii="Times New Roman" w:cs="Times New Roman" w:eastAsia="Times New Roman" w:hAnsi="Times New Roman"/>
          <w:sz w:val="20"/>
          <w:szCs w:val="20"/>
          <w:color w:val="auto"/>
        </w:rPr>
        <w:t>governmental authority to be unlawful or invalid, such unlawfulness or invalidity will not invalidate any</w:t>
      </w:r>
    </w:p>
    <w:p>
      <w:pPr>
        <w:ind w:left="200"/>
        <w:spacing w:after="0"/>
        <w:rPr>
          <w:sz w:val="20"/>
          <w:szCs w:val="20"/>
          <w:color w:val="auto"/>
        </w:rPr>
      </w:pPr>
      <w:r>
        <w:rPr>
          <w:rFonts w:ascii="Times New Roman" w:cs="Times New Roman" w:eastAsia="Times New Roman" w:hAnsi="Times New Roman"/>
          <w:sz w:val="20"/>
          <w:szCs w:val="20"/>
          <w:color w:val="auto"/>
        </w:rPr>
        <w:t>portion of this Option Agreement or the Plan not declared to be unlawful or invalid. Any Section of this</w:t>
      </w:r>
    </w:p>
    <w:p>
      <w:pPr>
        <w:ind w:left="200"/>
        <w:spacing w:after="0"/>
        <w:rPr>
          <w:sz w:val="20"/>
          <w:szCs w:val="20"/>
          <w:color w:val="auto"/>
        </w:rPr>
      </w:pPr>
      <w:r>
        <w:rPr>
          <w:rFonts w:ascii="Times New Roman" w:cs="Times New Roman" w:eastAsia="Times New Roman" w:hAnsi="Times New Roman"/>
          <w:sz w:val="20"/>
          <w:szCs w:val="20"/>
          <w:color w:val="auto"/>
        </w:rPr>
        <w:t>Option Agreement (or part of such a Section) so declared to be unlawful or invalid will, if possible, be</w:t>
      </w:r>
    </w:p>
    <w:p>
      <w:pPr>
        <w:ind w:left="200"/>
        <w:spacing w:after="0"/>
        <w:rPr>
          <w:sz w:val="20"/>
          <w:szCs w:val="20"/>
          <w:color w:val="auto"/>
        </w:rPr>
      </w:pPr>
      <w:r>
        <w:rPr>
          <w:rFonts w:ascii="Times New Roman" w:cs="Times New Roman" w:eastAsia="Times New Roman" w:hAnsi="Times New Roman"/>
          <w:sz w:val="20"/>
          <w:szCs w:val="20"/>
          <w:color w:val="auto"/>
        </w:rPr>
        <w:t>construed in a manner which will give effect to the terms of such Section or part of a Section to the fullest</w:t>
      </w:r>
    </w:p>
    <w:p>
      <w:pPr>
        <w:ind w:left="200"/>
        <w:spacing w:after="0"/>
        <w:rPr>
          <w:sz w:val="20"/>
          <w:szCs w:val="20"/>
          <w:color w:val="auto"/>
        </w:rPr>
      </w:pPr>
      <w:r>
        <w:rPr>
          <w:rFonts w:ascii="Times New Roman" w:cs="Times New Roman" w:eastAsia="Times New Roman" w:hAnsi="Times New Roman"/>
          <w:sz w:val="20"/>
          <w:szCs w:val="20"/>
          <w:color w:val="auto"/>
        </w:rPr>
        <w:t>extent possible while remaining lawful and valid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11.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hereby acknowledge receipt of or the right to receive a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the information required by Rule 428(b)(1) promulgated under the Securities Act, which includes the Prospectus. In addition, you acknowledge and agree to be subject to the Company’s Trading Policy, which such Trading Policy has been or will be made available to you.  </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12.           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have questions regarding these or any other terms and conditions</w:t>
      </w:r>
    </w:p>
    <w:p>
      <w:pPr>
        <w:ind w:left="200"/>
        <w:spacing w:after="0"/>
        <w:rPr>
          <w:sz w:val="20"/>
          <w:szCs w:val="20"/>
          <w:color w:val="auto"/>
        </w:rPr>
      </w:pPr>
      <w:r>
        <w:rPr>
          <w:rFonts w:ascii="Times New Roman" w:cs="Times New Roman" w:eastAsia="Times New Roman" w:hAnsi="Times New Roman"/>
          <w:sz w:val="20"/>
          <w:szCs w:val="20"/>
          <w:color w:val="auto"/>
        </w:rPr>
        <w:t>applicable to your Option, including a summary of the applicable federal income tax consequences please</w:t>
      </w:r>
    </w:p>
    <w:p>
      <w:pPr>
        <w:ind w:left="200"/>
        <w:spacing w:after="0"/>
        <w:rPr>
          <w:sz w:val="20"/>
          <w:szCs w:val="20"/>
          <w:color w:val="auto"/>
        </w:rPr>
      </w:pPr>
      <w:r>
        <w:rPr>
          <w:rFonts w:ascii="Times New Roman" w:cs="Times New Roman" w:eastAsia="Times New Roman" w:hAnsi="Times New Roman"/>
          <w:sz w:val="20"/>
          <w:szCs w:val="20"/>
          <w:color w:val="auto"/>
        </w:rPr>
        <w:t>see the Prospectus.</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color w:val="auto"/>
        </w:rPr>
        <w:t>* * * *</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w:t>
      </w: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2022 EQUITY INCENTVE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495935</wp:posOffset>
            </wp:positionV>
            <wp:extent cx="5452110"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jc w:val="center"/>
        <w:ind w:right="19"/>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(AMENDED AND RESTATED 2022 EQUITY INCENTIVE PLAN)</w:t>
      </w:r>
    </w:p>
    <w:p>
      <w:pPr>
        <w:jc w:val="center"/>
        <w:ind w:right="19"/>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NOTICE OF EXERCISE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spacing w:after="0"/>
        <w:rPr>
          <w:sz w:val="20"/>
          <w:szCs w:val="20"/>
          <w:color w:val="auto"/>
        </w:rPr>
      </w:pPr>
      <w:r>
        <w:rPr>
          <w:rFonts w:ascii="Times New Roman" w:cs="Times New Roman" w:eastAsia="Times New Roman" w:hAnsi="Times New Roman"/>
          <w:sz w:val="20"/>
          <w:szCs w:val="20"/>
          <w:color w:val="auto"/>
        </w:rPr>
        <w:t>MetaVia Inc.</w:t>
      </w:r>
    </w:p>
    <w:p>
      <w:pPr>
        <w:ind w:left="200"/>
        <w:spacing w:after="0"/>
        <w:rPr>
          <w:sz w:val="20"/>
          <w:szCs w:val="20"/>
          <w:color w:val="auto"/>
        </w:rPr>
      </w:pPr>
      <w:r>
        <w:rPr>
          <w:rFonts w:ascii="Times New Roman" w:cs="Times New Roman" w:eastAsia="Times New Roman" w:hAnsi="Times New Roman"/>
          <w:sz w:val="20"/>
          <w:szCs w:val="20"/>
          <w:color w:val="auto"/>
        </w:rPr>
        <w:t>545 Concord Avenue, Suite 210</w:t>
      </w:r>
    </w:p>
    <w:p>
      <w:pPr>
        <w:ind w:left="200"/>
        <w:spacing w:after="0"/>
        <w:rPr>
          <w:sz w:val="20"/>
          <w:szCs w:val="20"/>
          <w:color w:val="auto"/>
        </w:rPr>
      </w:pPr>
      <w:r>
        <w:rPr>
          <w:rFonts w:ascii="Times New Roman" w:cs="Times New Roman" w:eastAsia="Times New Roman" w:hAnsi="Times New Roman"/>
          <w:sz w:val="20"/>
          <w:szCs w:val="20"/>
          <w:color w:val="auto"/>
        </w:rPr>
        <w:t>Cambridge, Massachusetts 02138</w:t>
      </w:r>
    </w:p>
    <w:p>
      <w:pPr>
        <w:ind w:left="200"/>
        <w:spacing w:after="0"/>
        <w:rPr>
          <w:sz w:val="20"/>
          <w:szCs w:val="20"/>
          <w:color w:val="auto"/>
        </w:rPr>
      </w:pPr>
      <w:r>
        <w:rPr>
          <w:rFonts w:ascii="Times New Roman" w:cs="Times New Roman" w:eastAsia="Times New Roman" w:hAnsi="Times New Roman"/>
          <w:sz w:val="20"/>
          <w:szCs w:val="20"/>
          <w:color w:val="auto"/>
        </w:rPr>
        <w:t>Attention: Chief Executive Officer</w:t>
      </w:r>
    </w:p>
    <w:p>
      <w:pPr>
        <w:ind w:left="6100"/>
        <w:spacing w:after="0"/>
        <w:rPr>
          <w:sz w:val="20"/>
          <w:szCs w:val="20"/>
          <w:color w:val="auto"/>
        </w:rPr>
      </w:pPr>
      <w:r>
        <w:rPr>
          <w:rFonts w:ascii="Times New Roman" w:cs="Times New Roman" w:eastAsia="Times New Roman" w:hAnsi="Times New Roman"/>
          <w:sz w:val="19"/>
          <w:szCs w:val="19"/>
          <w:color w:val="auto"/>
        </w:rPr>
        <w:t>Date of Exercise: _____________</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 xml:space="preserve">This constitutes notice to MetaVia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that I elect to</w:t>
      </w:r>
    </w:p>
    <w:p>
      <w:pPr>
        <w:ind w:left="200"/>
        <w:spacing w:after="0"/>
        <w:rPr>
          <w:sz w:val="20"/>
          <w:szCs w:val="20"/>
          <w:color w:val="auto"/>
        </w:rPr>
      </w:pPr>
      <w:r>
        <w:rPr>
          <w:rFonts w:ascii="Times New Roman" w:cs="Times New Roman" w:eastAsia="Times New Roman" w:hAnsi="Times New Roman"/>
          <w:sz w:val="20"/>
          <w:szCs w:val="20"/>
          <w:color w:val="auto"/>
        </w:rPr>
        <w:t xml:space="preserve">purchase the below number of shares of the Common Stock of the Company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by exercising</w:t>
      </w:r>
    </w:p>
    <w:p>
      <w:pPr>
        <w:ind w:left="200"/>
        <w:spacing w:after="0"/>
        <w:rPr>
          <w:sz w:val="20"/>
          <w:szCs w:val="20"/>
          <w:color w:val="auto"/>
        </w:rPr>
      </w:pPr>
      <w:r>
        <w:rPr>
          <w:rFonts w:ascii="Times New Roman" w:cs="Times New Roman" w:eastAsia="Times New Roman" w:hAnsi="Times New Roman"/>
          <w:sz w:val="20"/>
          <w:szCs w:val="20"/>
          <w:color w:val="auto"/>
        </w:rPr>
        <w:t>my Option for the price set forth below. Capitalized terms not explicitly defined in this Notice of Exercise</w:t>
      </w:r>
    </w:p>
    <w:p>
      <w:pPr>
        <w:ind w:left="200"/>
        <w:spacing w:after="0"/>
        <w:rPr>
          <w:sz w:val="20"/>
          <w:szCs w:val="20"/>
          <w:color w:val="auto"/>
        </w:rPr>
      </w:pPr>
      <w:r>
        <w:rPr>
          <w:rFonts w:ascii="Times New Roman" w:cs="Times New Roman" w:eastAsia="Times New Roman" w:hAnsi="Times New Roman"/>
          <w:sz w:val="20"/>
          <w:szCs w:val="20"/>
          <w:color w:val="auto"/>
        </w:rPr>
        <w:t>but defined in the Grant Notice, Option Agreement or Amended and Restated 2022 Equity Incentive Plan</w:t>
      </w:r>
    </w:p>
    <w:p>
      <w:pPr>
        <w:ind w:left="20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shall have the meanings set forth therein, as applicable. Use of certain payment methods is</w:t>
      </w:r>
    </w:p>
    <w:p>
      <w:pPr>
        <w:ind w:left="200"/>
        <w:spacing w:after="0"/>
        <w:rPr>
          <w:sz w:val="20"/>
          <w:szCs w:val="20"/>
          <w:color w:val="auto"/>
        </w:rPr>
      </w:pPr>
      <w:r>
        <w:rPr>
          <w:rFonts w:ascii="Times New Roman" w:cs="Times New Roman" w:eastAsia="Times New Roman" w:hAnsi="Times New Roman"/>
          <w:sz w:val="20"/>
          <w:szCs w:val="20"/>
          <w:color w:val="auto"/>
        </w:rPr>
        <w:t>subject to Company and/or Committee consent and certain additional requirements set forth in the Option</w:t>
      </w:r>
    </w:p>
    <w:p>
      <w:pPr>
        <w:ind w:left="200"/>
        <w:spacing w:after="0"/>
        <w:rPr>
          <w:sz w:val="20"/>
          <w:szCs w:val="20"/>
          <w:color w:val="auto"/>
        </w:rPr>
      </w:pPr>
      <w:r>
        <w:rPr>
          <w:rFonts w:ascii="Times New Roman" w:cs="Times New Roman" w:eastAsia="Times New Roman" w:hAnsi="Times New Roman"/>
          <w:sz w:val="20"/>
          <w:szCs w:val="20"/>
          <w:color w:val="auto"/>
        </w:rPr>
        <w:t>Agreement and the Plan.</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6" w:lineRule="exact"/>
        <w:rPr>
          <w:sz w:val="20"/>
          <w:szCs w:val="20"/>
          <w:color w:val="auto"/>
        </w:rPr>
      </w:pPr>
    </w:p>
    <w:tbl>
      <w:tblPr>
        <w:tblLayout w:type="fixed"/>
        <w:tblInd w:w="860" w:type="dxa"/>
        <w:tblCellMar>
          <w:top w:w="0" w:type="dxa"/>
          <w:left w:w="0" w:type="dxa"/>
          <w:bottom w:w="0" w:type="dxa"/>
          <w:right w:w="0" w:type="dxa"/>
        </w:tblCellMar>
      </w:tblPr>
      <w:tr>
        <w:trPr>
          <w:trHeight w:val="251"/>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Type of option (check one):</w:t>
            </w:r>
          </w:p>
        </w:tc>
        <w:tc>
          <w:tcPr>
            <w:tcW w:w="224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0"/>
                <w:szCs w:val="20"/>
                <w:color w:val="auto"/>
                <w:w w:val="96"/>
              </w:rPr>
              <w:t xml:space="preserve">Incentive </w:t>
            </w:r>
            <w:r>
              <w:rPr>
                <w:rFonts w:ascii="MS PGothic" w:cs="MS PGothic" w:eastAsia="MS PGothic" w:hAnsi="MS PGothic"/>
                <w:sz w:val="20"/>
                <w:szCs w:val="20"/>
                <w:color w:val="auto"/>
                <w:w w:val="96"/>
              </w:rPr>
              <w:t>☐</w:t>
            </w:r>
            <w:r>
              <w:rPr>
                <w:rFonts w:ascii="Times New Roman" w:cs="Times New Roman" w:eastAsia="Times New Roman" w:hAnsi="Times New Roman"/>
                <w:sz w:val="20"/>
                <w:szCs w:val="20"/>
                <w:color w:val="auto"/>
                <w:w w:val="96"/>
              </w:rPr>
              <w:t xml:space="preserve">Nonstatutory </w:t>
            </w:r>
            <w:r>
              <w:rPr>
                <w:rFonts w:ascii="MS PGothic" w:cs="MS PGothic" w:eastAsia="MS PGothic" w:hAnsi="MS PGothic"/>
                <w:sz w:val="20"/>
                <w:szCs w:val="20"/>
                <w:color w:val="auto"/>
                <w:w w:val="96"/>
              </w:rPr>
              <w:t>☐</w:t>
            </w:r>
          </w:p>
        </w:tc>
      </w:tr>
      <w:tr>
        <w:trPr>
          <w:trHeight w:val="223"/>
        </w:trPr>
        <w:tc>
          <w:tcPr>
            <w:tcW w:w="42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Date of Grant:</w:t>
            </w:r>
          </w:p>
        </w:tc>
        <w:tc>
          <w:tcPr>
            <w:tcW w:w="2240" w:type="dxa"/>
            <w:vAlign w:val="bottom"/>
            <w:shd w:val="clear" w:color="auto" w:fill="CCEEFF"/>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as to which Option is exercised:</w:t>
            </w:r>
          </w:p>
        </w:tc>
        <w:tc>
          <w:tcPr>
            <w:tcW w:w="2240" w:type="dxa"/>
            <w:vAlign w:val="bottom"/>
          </w:tcPr>
          <w:p>
            <w:pPr>
              <w:spacing w:after="0"/>
              <w:rPr>
                <w:sz w:val="19"/>
                <w:szCs w:val="19"/>
                <w:color w:val="auto"/>
              </w:rPr>
            </w:pP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Certificates to be issued in name of:</w:t>
            </w:r>
          </w:p>
        </w:tc>
        <w:tc>
          <w:tcPr>
            <w:tcW w:w="2240" w:type="dxa"/>
            <w:vAlign w:val="bottom"/>
            <w:shd w:val="clear" w:color="auto" w:fill="CCEEFF"/>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Total exercise price:</w:t>
            </w:r>
          </w:p>
        </w:tc>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07"/>
        </w:trPr>
        <w:tc>
          <w:tcPr>
            <w:tcW w:w="42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Cash, check, bank draft or money order delivered</w:t>
            </w:r>
          </w:p>
        </w:tc>
        <w:tc>
          <w:tcPr>
            <w:tcW w:w="2240" w:type="dxa"/>
            <w:vAlign w:val="bottom"/>
            <w:shd w:val="clear" w:color="auto" w:fill="CCEEFF"/>
          </w:tcPr>
          <w:p>
            <w:pPr>
              <w:spacing w:after="0"/>
              <w:rPr>
                <w:sz w:val="17"/>
                <w:szCs w:val="17"/>
                <w:color w:val="auto"/>
              </w:rPr>
            </w:pPr>
          </w:p>
        </w:tc>
      </w:tr>
      <w:tr>
        <w:trPr>
          <w:trHeight w:val="25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herewith:</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Value of                  Shares delivered herewith:</w:t>
            </w:r>
          </w:p>
        </w:tc>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Regulation T Program (cashless exercise)</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42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Value of                  Shares pursuant to net exercise:</w:t>
            </w:r>
          </w:p>
        </w:tc>
        <w:tc>
          <w:tcPr>
            <w:tcW w:w="22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w:t>
            </w:r>
          </w:p>
        </w:tc>
      </w:tr>
    </w:tbl>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color w:val="auto"/>
        </w:rPr>
        <w:t>By this exercise, I agree (i) to provide such additional documents as the Company may require pursuant to the terms of the Plan, (ii) to satisfy the tax withholding obligations, if any, relating to the exercise of this Option as set forth in the Option Agreement, and (iii) if this exercise relates to an incentive stock option, to notify the Company in writing within 15 days after the date of any disposition of any of the Shares issued upon exercise of this Option that occurs within two years after the Date of Grant or within one year after such Shares are issued upon exercise of this Option.  </w:t>
      </w:r>
    </w:p>
    <w:p>
      <w:pPr>
        <w:spacing w:after="0" w:line="227"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0"/>
          <w:szCs w:val="20"/>
          <w:color w:val="auto"/>
        </w:rPr>
        <w:t xml:space="preserve">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the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Lock-Up Period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77" w:name="page278"/>
    <w:bookmarkEnd w:id="277"/>
    <w:p>
      <w:pPr>
        <w:jc w:val="right"/>
        <w:ind w:right="3179"/>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-139700</wp:posOffset>
            </wp:positionV>
            <wp:extent cx="27260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78" w:name="page279"/>
    <w:bookmarkEnd w:id="278"/>
    <w:p>
      <w:pPr>
        <w:jc w:val="right"/>
        <w:ind w:right="219"/>
        <w:spacing w:after="0"/>
        <w:rPr>
          <w:sz w:val="20"/>
          <w:szCs w:val="20"/>
          <w:color w:val="auto"/>
        </w:rPr>
      </w:pPr>
      <w:r>
        <w:rPr>
          <w:rFonts w:ascii="Times New Roman" w:cs="Times New Roman" w:eastAsia="Times New Roman" w:hAnsi="Times New Roman"/>
          <w:sz w:val="20"/>
          <w:szCs w:val="20"/>
          <w:i w:val="1"/>
          <w:iCs w:val="1"/>
          <w:color w:val="auto"/>
        </w:rPr>
        <w:t>Non-Employee Director</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Amended and Restated</w:t>
      </w:r>
    </w:p>
    <w:p>
      <w:pPr>
        <w:ind w:left="200"/>
        <w:spacing w:after="0"/>
        <w:rPr>
          <w:sz w:val="20"/>
          <w:szCs w:val="20"/>
          <w:color w:val="auto"/>
        </w:rPr>
      </w:pPr>
      <w:r>
        <w:rPr>
          <w:rFonts w:ascii="Times New Roman" w:cs="Times New Roman" w:eastAsia="Times New Roman" w:hAnsi="Times New Roman"/>
          <w:sz w:val="20"/>
          <w:szCs w:val="20"/>
          <w:color w:val="auto"/>
        </w:rPr>
        <w:t xml:space="preserve">2022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you (</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 an option to purchase the</w:t>
      </w:r>
    </w:p>
    <w:p>
      <w:pPr>
        <w:ind w:left="200"/>
        <w:spacing w:after="0"/>
        <w:rPr>
          <w:sz w:val="20"/>
          <w:szCs w:val="20"/>
          <w:color w:val="auto"/>
        </w:rPr>
      </w:pPr>
      <w:r>
        <w:rPr>
          <w:rFonts w:ascii="Times New Roman" w:cs="Times New Roman" w:eastAsia="Times New Roman" w:hAnsi="Times New Roman"/>
          <w:sz w:val="20"/>
          <w:szCs w:val="20"/>
          <w:color w:val="auto"/>
        </w:rPr>
        <w:t xml:space="preserve">number of shares of the Common Stock set forth below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Your Option is subject to all of the</w:t>
      </w:r>
    </w:p>
    <w:p>
      <w:pPr>
        <w:ind w:left="200"/>
        <w:spacing w:after="0"/>
        <w:rPr>
          <w:sz w:val="20"/>
          <w:szCs w:val="20"/>
          <w:color w:val="auto"/>
        </w:rPr>
      </w:pPr>
      <w:r>
        <w:rPr>
          <w:rFonts w:ascii="Times New Roman" w:cs="Times New Roman" w:eastAsia="Times New Roman" w:hAnsi="Times New Roman"/>
          <w:sz w:val="19"/>
          <w:szCs w:val="19"/>
          <w:color w:val="auto"/>
        </w:rPr>
        <w:t xml:space="preserve">terms and conditions as set forth in this Stock Option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and in the Plan,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Stock Option Agreement and the Notice of Exercise, all of which are attached hereto and incorporated</w:t>
      </w:r>
    </w:p>
    <w:p>
      <w:pPr>
        <w:ind w:left="200"/>
        <w:spacing w:after="0"/>
        <w:rPr>
          <w:sz w:val="20"/>
          <w:szCs w:val="20"/>
          <w:color w:val="auto"/>
        </w:rPr>
      </w:pPr>
      <w:r>
        <w:rPr>
          <w:rFonts w:ascii="Times New Roman" w:cs="Times New Roman" w:eastAsia="Times New Roman" w:hAnsi="Times New Roman"/>
          <w:sz w:val="20"/>
          <w:szCs w:val="20"/>
          <w:color w:val="auto"/>
        </w:rPr>
        <w:t>herein in their entirety. Capitalized terms not explicitly defined herein but defined in the Plan or the Stock</w:t>
      </w:r>
    </w:p>
    <w:p>
      <w:pPr>
        <w:ind w:left="200"/>
        <w:spacing w:after="0"/>
        <w:rPr>
          <w:sz w:val="20"/>
          <w:szCs w:val="20"/>
          <w:color w:val="auto"/>
        </w:rPr>
      </w:pPr>
      <w:r>
        <w:rPr>
          <w:rFonts w:ascii="Times New Roman" w:cs="Times New Roman" w:eastAsia="Times New Roman" w:hAnsi="Times New Roman"/>
          <w:sz w:val="20"/>
          <w:szCs w:val="20"/>
          <w:color w:val="auto"/>
        </w:rPr>
        <w:t>Option Agreement shall have the meanings set forth in the Plan or the Stock Option Agreement, as</w:t>
      </w:r>
    </w:p>
    <w:p>
      <w:pPr>
        <w:ind w:left="200"/>
        <w:spacing w:after="0"/>
        <w:rPr>
          <w:sz w:val="20"/>
          <w:szCs w:val="20"/>
          <w:color w:val="auto"/>
        </w:rPr>
      </w:pPr>
      <w:r>
        <w:rPr>
          <w:rFonts w:ascii="Times New Roman" w:cs="Times New Roman" w:eastAsia="Times New Roman" w:hAnsi="Times New Roman"/>
          <w:sz w:val="20"/>
          <w:szCs w:val="20"/>
          <w:color w:val="auto"/>
        </w:rPr>
        <w:t>applicable.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920"/>
        <w:spacing w:after="0"/>
        <w:rPr>
          <w:sz w:val="20"/>
          <w:szCs w:val="20"/>
          <w:color w:val="auto"/>
        </w:rPr>
      </w:pPr>
      <w:r>
        <w:rPr>
          <w:rFonts w:ascii="Times New Roman" w:cs="Times New Roman" w:eastAsia="Times New Roman" w:hAnsi="Times New Roman"/>
          <w:sz w:val="20"/>
          <w:szCs w:val="20"/>
          <w:b w:val="1"/>
          <w:bCs w:val="1"/>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0</wp:posOffset>
            </wp:positionV>
            <wp:extent cx="16370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9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16510</wp:posOffset>
            </wp:positionV>
            <wp:extent cx="16370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Number of Shares of the Common</w:t>
      </w:r>
    </w:p>
    <w:p>
      <w:pPr>
        <w:spacing w:after="0" w:line="2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0</wp:posOffset>
            </wp:positionV>
            <wp:extent cx="16370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9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16510</wp:posOffset>
            </wp:positionV>
            <wp:extent cx="16370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16510</wp:posOffset>
            </wp:positionV>
            <wp:extent cx="16370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16510</wp:posOffset>
            </wp:positionV>
            <wp:extent cx="16370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6" w:lineRule="exact"/>
        <w:rPr>
          <w:sz w:val="20"/>
          <w:szCs w:val="20"/>
          <w:color w:val="auto"/>
        </w:rPr>
      </w:pPr>
    </w:p>
    <w:p>
      <w:pPr>
        <w:ind w:left="200"/>
        <w:spacing w:after="0"/>
        <w:tabs>
          <w:tab w:leader="none" w:pos="2020" w:val="left"/>
        </w:tabs>
        <w:rPr>
          <w:sz w:val="20"/>
          <w:szCs w:val="20"/>
          <w:color w:val="auto"/>
        </w:rPr>
      </w:pPr>
      <w:r>
        <w:rPr>
          <w:rFonts w:ascii="Times New Roman" w:cs="Times New Roman" w:eastAsia="Times New Roman" w:hAnsi="Times New Roman"/>
          <w:sz w:val="20"/>
          <w:szCs w:val="20"/>
          <w:b w:val="1"/>
          <w:bCs w:val="1"/>
          <w:color w:val="auto"/>
        </w:rPr>
        <w:t>Type of Grant:</w:t>
      </w:r>
      <w:r>
        <w:rPr>
          <w:sz w:val="20"/>
          <w:szCs w:val="20"/>
          <w:color w:val="auto"/>
        </w:rPr>
        <w:tab/>
      </w:r>
      <w:r>
        <w:rPr>
          <w:rFonts w:ascii="Times New Roman" w:cs="Times New Roman" w:eastAsia="Times New Roman" w:hAnsi="Times New Roman"/>
          <w:sz w:val="19"/>
          <w:szCs w:val="19"/>
          <w:color w:val="auto"/>
        </w:rPr>
        <w:t>Nonstatutory Stock Option</w:t>
      </w:r>
    </w:p>
    <w:p>
      <w:pPr>
        <w:ind w:left="260"/>
        <w:spacing w:after="0"/>
        <w:tabs>
          <w:tab w:leader="none" w:pos="2060" w:val="left"/>
        </w:tabs>
        <w:rPr>
          <w:sz w:val="20"/>
          <w:szCs w:val="20"/>
          <w:color w:val="auto"/>
        </w:rPr>
      </w:pPr>
      <w:r>
        <w:rPr>
          <w:rFonts w:ascii="Times New Roman" w:cs="Times New Roman" w:eastAsia="Times New Roman" w:hAnsi="Times New Roman"/>
          <w:sz w:val="20"/>
          <w:szCs w:val="20"/>
          <w:color w:val="auto"/>
        </w:rPr>
        <w:t> </w:t>
      </w:r>
      <w:r>
        <w:rPr>
          <w:sz w:val="20"/>
          <w:szCs w:val="20"/>
          <w:color w:val="auto"/>
        </w:rPr>
        <w:tab/>
      </w:r>
      <w:r>
        <w:rPr>
          <w:rFonts w:ascii="Times New Roman" w:cs="Times New Roman" w:eastAsia="Times New Roman" w:hAnsi="Times New Roman"/>
          <w:sz w:val="20"/>
          <w:szCs w:val="20"/>
          <w:color w:val="auto"/>
        </w:rPr>
        <w:t> </w:t>
      </w: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Exercise and Vesting </w:t>
      </w:r>
      <w:r>
        <w:rPr>
          <w:rFonts w:ascii="Times New Roman" w:cs="Times New Roman" w:eastAsia="Times New Roman" w:hAnsi="Times New Roman"/>
          <w:sz w:val="20"/>
          <w:szCs w:val="20"/>
          <w:color w:val="auto"/>
        </w:rPr>
        <w:t>Subject to the Optionholder’s Continuous Service through each applicable vesting</w:t>
      </w:r>
    </w:p>
    <w:p>
      <w:pPr>
        <w:ind w:left="2040" w:right="239" w:hanging="1839"/>
        <w:spacing w:after="0" w:line="239" w:lineRule="auto"/>
        <w:tabs>
          <w:tab w:leader="none" w:pos="2020" w:val="left"/>
        </w:tabs>
        <w:rPr>
          <w:sz w:val="20"/>
          <w:szCs w:val="20"/>
          <w:color w:val="auto"/>
        </w:rPr>
      </w:pPr>
      <w:r>
        <w:rPr>
          <w:rFonts w:ascii="Times New Roman" w:cs="Times New Roman" w:eastAsia="Times New Roman" w:hAnsi="Times New Roman"/>
          <w:sz w:val="20"/>
          <w:szCs w:val="20"/>
          <w:b w:val="1"/>
          <w:bCs w:val="1"/>
          <w:color w:val="auto"/>
        </w:rPr>
        <w:t>Schedule:</w:t>
      </w:r>
      <w:r>
        <w:rPr>
          <w:sz w:val="20"/>
          <w:szCs w:val="20"/>
          <w:color w:val="auto"/>
        </w:rPr>
        <w:tab/>
      </w:r>
      <w:r>
        <w:rPr>
          <w:rFonts w:ascii="Times New Roman" w:cs="Times New Roman" w:eastAsia="Times New Roman" w:hAnsi="Times New Roman"/>
          <w:sz w:val="20"/>
          <w:szCs w:val="20"/>
          <w:color w:val="auto"/>
        </w:rPr>
        <w:t xml:space="preserve">date, the Option will vest as follows, subject to the potential vesting acceleration described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the Stock Option Agreement:</w:t>
      </w:r>
    </w:p>
    <w:p>
      <w:pPr>
        <w:ind w:left="2040"/>
        <w:spacing w:after="0"/>
        <w:rPr>
          <w:sz w:val="20"/>
          <w:szCs w:val="20"/>
          <w:color w:val="auto"/>
        </w:rPr>
      </w:pPr>
      <w:r>
        <w:rPr>
          <w:rFonts w:ascii="Times New Roman" w:cs="Times New Roman" w:eastAsia="Times New Roman" w:hAnsi="Times New Roman"/>
          <w:sz w:val="20"/>
          <w:szCs w:val="20"/>
          <w:color w:val="auto"/>
        </w:rPr>
        <w:t> </w:t>
      </w:r>
    </w:p>
    <w:p>
      <w:pPr>
        <w:ind w:left="2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Initial Grant</w:t>
      </w:r>
      <w:r>
        <w:rPr>
          <w:rFonts w:ascii="Times New Roman" w:cs="Times New Roman" w:eastAsia="Times New Roman" w:hAnsi="Times New Roman"/>
          <w:sz w:val="20"/>
          <w:szCs w:val="20"/>
          <w:color w:val="auto"/>
        </w:rPr>
        <w:t>]The shares subject to the Option shall vest and become exercisable in</w:t>
      </w:r>
    </w:p>
    <w:p>
      <w:pPr>
        <w:ind w:left="2040"/>
        <w:spacing w:after="0"/>
        <w:rPr>
          <w:sz w:val="20"/>
          <w:szCs w:val="20"/>
          <w:color w:val="auto"/>
        </w:rPr>
      </w:pPr>
      <w:r>
        <w:rPr>
          <w:rFonts w:ascii="Times New Roman" w:cs="Times New Roman" w:eastAsia="Times New Roman" w:hAnsi="Times New Roman"/>
          <w:sz w:val="20"/>
          <w:szCs w:val="20"/>
          <w:color w:val="auto"/>
        </w:rPr>
        <w:t>a series of thirty-six (36) successive equal monthly installments measured from the</w:t>
      </w:r>
    </w:p>
    <w:p>
      <w:pPr>
        <w:ind w:left="2040"/>
        <w:spacing w:after="0"/>
        <w:rPr>
          <w:sz w:val="20"/>
          <w:szCs w:val="20"/>
          <w:color w:val="auto"/>
        </w:rPr>
      </w:pPr>
      <w:r>
        <w:rPr>
          <w:rFonts w:ascii="Times New Roman" w:cs="Times New Roman" w:eastAsia="Times New Roman" w:hAnsi="Times New Roman"/>
          <w:sz w:val="20"/>
          <w:szCs w:val="20"/>
          <w:color w:val="auto"/>
        </w:rPr>
        <w:t>Date of Grant.</w:t>
      </w:r>
    </w:p>
    <w:p>
      <w:pPr>
        <w:ind w:left="2040"/>
        <w:spacing w:after="0"/>
        <w:rPr>
          <w:sz w:val="20"/>
          <w:szCs w:val="20"/>
          <w:color w:val="auto"/>
        </w:rPr>
      </w:pPr>
      <w:r>
        <w:rPr>
          <w:rFonts w:ascii="Times New Roman" w:cs="Times New Roman" w:eastAsia="Times New Roman" w:hAnsi="Times New Roman"/>
          <w:sz w:val="20"/>
          <w:szCs w:val="20"/>
          <w:color w:val="auto"/>
        </w:rPr>
        <w:t> </w:t>
      </w:r>
    </w:p>
    <w:p>
      <w:pPr>
        <w:jc w:val="both"/>
        <w:ind w:left="2040" w:right="219"/>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Annual Grant</w:t>
      </w:r>
      <w:r>
        <w:rPr>
          <w:rFonts w:ascii="Times New Roman" w:cs="Times New Roman" w:eastAsia="Times New Roman" w:hAnsi="Times New Roman"/>
          <w:sz w:val="20"/>
          <w:szCs w:val="20"/>
          <w:color w:val="auto"/>
        </w:rPr>
        <w:t>][The shares subject to the Option shall vest and become exercisable on the earlier of (i) the one-year anniversary of the Date of Grant and (ii) the day immediately prior to the date of the Company’s next annual stockholder meeting following the Date of Grant.]</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Optionholder Acknowledgements: </w:t>
      </w:r>
      <w:r>
        <w:rPr>
          <w:rFonts w:ascii="Times New Roman" w:cs="Times New Roman" w:eastAsia="Times New Roman" w:hAnsi="Times New Roman"/>
          <w:sz w:val="20"/>
          <w:szCs w:val="20"/>
          <w:color w:val="auto"/>
        </w:rPr>
        <w:t>By your signature below or by electronic acceptance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authentication in a form authorized by the Company, you understand and agree that: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630555</wp:posOffset>
            </wp:positionV>
            <wp:extent cx="545211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79" w:name="page280"/>
    <w:bookmarkEnd w:id="279"/>
    <w:p>
      <w:pPr>
        <w:jc w:val="both"/>
        <w:ind w:left="1500" w:right="219" w:hanging="643"/>
        <w:spacing w:after="0" w:line="244" w:lineRule="auto"/>
        <w:tabs>
          <w:tab w:leader="none" w:pos="150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Option is governed by this Grant Notice, and the provisions of the Plan,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consent to receive this Grant Notice, the Stock Option Agreement, the Plan and any other Plan-related documents (including the Prospectus) by electronic delivery and to participate in the Plan through an on-line or electronic system established and maintained by the Company or another third party designated by the Company.</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Grant Notice,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Agreement sets forth the entire understanding between you and the Company regarding the acquisition of the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1500" w:right="219" w:hanging="643"/>
        <w:spacing w:after="0" w:line="239" w:lineRule="auto"/>
        <w:tabs>
          <w:tab w:leader="none" w:pos="150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tbl>
      <w:tblPr>
        <w:tblLayout w:type="fixed"/>
        <w:tblInd w:w="200" w:type="dxa"/>
        <w:tblCellMar>
          <w:top w:w="0" w:type="dxa"/>
          <w:left w:w="0" w:type="dxa"/>
          <w:bottom w:w="0" w:type="dxa"/>
          <w:right w:w="0" w:type="dxa"/>
        </w:tblCellMar>
      </w:tblPr>
      <w:tr>
        <w:trPr>
          <w:trHeight w:val="206"/>
        </w:trPr>
        <w:tc>
          <w:tcPr>
            <w:tcW w:w="430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THE COMPANY:</w:t>
            </w: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OPTIONHOLDER:</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w:t>
            </w: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8"/>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1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nsert</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3"/>
                <w:szCs w:val="13"/>
                <w:color w:val="auto"/>
              </w:rPr>
              <w:t>ame</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560" w:type="dxa"/>
            <w:vAlign w:val="bottom"/>
            <w:vMerge w:val="continue"/>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52"/>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740" w:type="dxa"/>
            <w:vAlign w:val="bottom"/>
            <w:tcBorders>
              <w:bottom w:val="single" w:sz="8" w:color="auto"/>
            </w:tcBorders>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6"/>
              </w:rPr>
              <w:t>Date:</w:t>
            </w:r>
          </w:p>
        </w:tc>
      </w:tr>
      <w:tr>
        <w:trPr>
          <w:trHeight w:val="222"/>
        </w:trPr>
        <w:tc>
          <w:tcPr>
            <w:tcW w:w="5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 </w:t>
            </w:r>
          </w:p>
        </w:tc>
        <w:tc>
          <w:tcPr>
            <w:tcW w:w="37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-153035</wp:posOffset>
            </wp:positionV>
            <wp:extent cx="23742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9"/>
          <w:szCs w:val="19"/>
          <w:b w:val="1"/>
          <w:bCs w:val="1"/>
          <w:color w:val="auto"/>
        </w:rPr>
        <w:t>ATTACHMENTS</w:t>
      </w:r>
      <w:r>
        <w:rPr>
          <w:rFonts w:ascii="Times New Roman" w:cs="Times New Roman" w:eastAsia="Times New Roman" w:hAnsi="Times New Roman"/>
          <w:sz w:val="19"/>
          <w:szCs w:val="19"/>
          <w:color w:val="auto"/>
        </w:rPr>
        <w:t>: Stock Option Agreement, Amended and Restated 2022 Equity Incentive Plan, Notice of</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Exercise</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METAVIA INC.</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 xml:space="preserve">As reflected by your Stock Option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MetaVia Inc., a Delaware</w:t>
      </w:r>
    </w:p>
    <w:p>
      <w:pPr>
        <w:ind w:left="200"/>
        <w:spacing w:after="0"/>
        <w:rPr>
          <w:sz w:val="20"/>
          <w:szCs w:val="20"/>
          <w:color w:val="auto"/>
        </w:rPr>
      </w:pPr>
      <w:r>
        <w:rPr>
          <w:rFonts w:ascii="Times New Roman" w:cs="Times New Roman" w:eastAsia="Times New Roman" w:hAnsi="Times New Roman"/>
          <w:sz w:val="20"/>
          <w:szCs w:val="20"/>
          <w:color w:val="auto"/>
        </w:rPr>
        <w:t xml:space="preserve">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its Amended and Restated 2022 Equity</w:t>
      </w:r>
    </w:p>
    <w:p>
      <w:pPr>
        <w:ind w:left="200"/>
        <w:spacing w:after="0"/>
        <w:rPr>
          <w:sz w:val="20"/>
          <w:szCs w:val="20"/>
          <w:color w:val="auto"/>
        </w:rPr>
      </w:pPr>
      <w:r>
        <w:rPr>
          <w:rFonts w:ascii="Times New Roman" w:cs="Times New Roman" w:eastAsia="Times New Roman" w:hAnsi="Times New Roman"/>
          <w:sz w:val="20"/>
          <w:szCs w:val="20"/>
          <w:color w:val="auto"/>
        </w:rPr>
        <w:t xml:space="preserve">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a number of shares of the Common Stock at the exercise price</w:t>
      </w:r>
    </w:p>
    <w:p>
      <w:pPr>
        <w:ind w:left="200"/>
        <w:spacing w:after="0"/>
        <w:rPr>
          <w:sz w:val="20"/>
          <w:szCs w:val="20"/>
          <w:color w:val="auto"/>
        </w:rPr>
      </w:pPr>
      <w:r>
        <w:rPr>
          <w:rFonts w:ascii="Times New Roman" w:cs="Times New Roman" w:eastAsia="Times New Roman" w:hAnsi="Times New Roman"/>
          <w:sz w:val="20"/>
          <w:szCs w:val="20"/>
          <w:color w:val="auto"/>
        </w:rPr>
        <w:t xml:space="preserve">indicated in your Grant Notice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Capitalized terms not explicitly defined in this Agreement</w:t>
      </w:r>
    </w:p>
    <w:p>
      <w:pPr>
        <w:ind w:left="200"/>
        <w:spacing w:after="0"/>
        <w:rPr>
          <w:sz w:val="20"/>
          <w:szCs w:val="20"/>
          <w:color w:val="auto"/>
        </w:rPr>
      </w:pPr>
      <w:r>
        <w:rPr>
          <w:rFonts w:ascii="Times New Roman" w:cs="Times New Roman" w:eastAsia="Times New Roman" w:hAnsi="Times New Roman"/>
          <w:sz w:val="20"/>
          <w:szCs w:val="20"/>
          <w:color w:val="auto"/>
        </w:rPr>
        <w:t>but defined in the Grant Notice or the Plan shall have the meanings set forth in the Grant Notice or Plan, as</w:t>
      </w:r>
    </w:p>
    <w:p>
      <w:pPr>
        <w:ind w:left="200"/>
        <w:spacing w:after="0"/>
        <w:rPr>
          <w:sz w:val="20"/>
          <w:szCs w:val="20"/>
          <w:color w:val="auto"/>
        </w:rPr>
      </w:pPr>
      <w:r>
        <w:rPr>
          <w:rFonts w:ascii="Times New Roman" w:cs="Times New Roman" w:eastAsia="Times New Roman" w:hAnsi="Times New Roman"/>
          <w:sz w:val="20"/>
          <w:szCs w:val="20"/>
          <w:color w:val="auto"/>
        </w:rPr>
        <w:t>applicable. The terms of your Option as specified in the Grant Notice and this Stock Option Agreement</w:t>
      </w:r>
    </w:p>
    <w:p>
      <w:pPr>
        <w:ind w:left="200"/>
        <w:spacing w:after="0"/>
        <w:rPr>
          <w:sz w:val="20"/>
          <w:szCs w:val="20"/>
          <w:color w:val="auto"/>
        </w:rPr>
      </w:pPr>
      <w:r>
        <w:rPr>
          <w:rFonts w:ascii="Times New Roman" w:cs="Times New Roman" w:eastAsia="Times New Roman" w:hAnsi="Times New Roman"/>
          <w:sz w:val="20"/>
          <w:szCs w:val="20"/>
          <w:color w:val="auto"/>
        </w:rPr>
        <w:t>constitute your Option Agreement.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The general terms and conditions applicable to your Option are as follows:</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1.             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Option is subject to all the provisions of the Plan,</w:t>
      </w:r>
    </w:p>
    <w:p>
      <w:pPr>
        <w:ind w:left="200"/>
        <w:spacing w:after="0"/>
        <w:rPr>
          <w:sz w:val="20"/>
          <w:szCs w:val="20"/>
          <w:color w:val="auto"/>
        </w:rPr>
      </w:pPr>
      <w:r>
        <w:rPr>
          <w:rFonts w:ascii="Times New Roman" w:cs="Times New Roman" w:eastAsia="Times New Roman" w:hAnsi="Times New Roman"/>
          <w:sz w:val="20"/>
          <w:szCs w:val="20"/>
          <w:color w:val="auto"/>
        </w:rPr>
        <w:t>including but not limited to the provisions in: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tabs>
          <w:tab w:leader="none" w:pos="2880" w:val="left"/>
          <w:tab w:leader="none" w:pos="3800" w:val="left"/>
          <w:tab w:leader="none" w:pos="4200" w:val="left"/>
          <w:tab w:leader="none" w:pos="4900" w:val="left"/>
          <w:tab w:leader="none" w:pos="5220" w:val="left"/>
          <w:tab w:leader="none" w:pos="5460" w:val="left"/>
          <w:tab w:leader="none" w:pos="6720" w:val="left"/>
          <w:tab w:leader="none" w:pos="7840" w:val="left"/>
        </w:tabs>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6</w:t>
      </w:r>
      <w:r>
        <w:rPr>
          <w:sz w:val="20"/>
          <w:szCs w:val="20"/>
          <w:color w:val="auto"/>
        </w:rPr>
        <w:tab/>
      </w:r>
      <w:r>
        <w:rPr>
          <w:rFonts w:ascii="Times New Roman" w:cs="Times New Roman" w:eastAsia="Times New Roman" w:hAnsi="Times New Roman"/>
          <w:sz w:val="20"/>
          <w:szCs w:val="20"/>
          <w:color w:val="auto"/>
        </w:rPr>
        <w:t>regarding</w:t>
        <w:tab/>
        <w:t>the</w:t>
        <w:tab/>
        <w:t>impact</w:t>
        <w:tab/>
        <w:t>of</w:t>
        <w:tab/>
        <w:t>a</w:t>
        <w:tab/>
        <w:t>Capitalization</w:t>
        <w:tab/>
        <w:t>Adjustment,</w:t>
      </w:r>
      <w:r>
        <w:rPr>
          <w:sz w:val="20"/>
          <w:szCs w:val="20"/>
          <w:color w:val="auto"/>
        </w:rPr>
        <w:tab/>
      </w:r>
      <w:r>
        <w:rPr>
          <w:rFonts w:ascii="Times New Roman" w:cs="Times New Roman" w:eastAsia="Times New Roman" w:hAnsi="Times New Roman"/>
          <w:sz w:val="19"/>
          <w:szCs w:val="19"/>
          <w:color w:val="auto"/>
        </w:rPr>
        <w:t>dissolution,</w:t>
      </w:r>
    </w:p>
    <w:p>
      <w:pPr>
        <w:ind w:left="200"/>
        <w:spacing w:after="0"/>
        <w:rPr>
          <w:sz w:val="20"/>
          <w:szCs w:val="20"/>
          <w:color w:val="auto"/>
        </w:rPr>
      </w:pPr>
      <w:r>
        <w:rPr>
          <w:rFonts w:ascii="Times New Roman" w:cs="Times New Roman" w:eastAsia="Times New Roman" w:hAnsi="Times New Roman"/>
          <w:sz w:val="20"/>
          <w:szCs w:val="20"/>
          <w:color w:val="auto"/>
        </w:rPr>
        <w:t>liquidation, or Corporate Transaction on your Option;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19"/>
          <w:szCs w:val="19"/>
          <w:b w:val="1"/>
          <w:bCs w:val="1"/>
          <w:color w:val="auto"/>
        </w:rPr>
        <w:t>(b)          </w:t>
      </w:r>
      <w:r>
        <w:rPr>
          <w:rFonts w:ascii="Times New Roman" w:cs="Times New Roman" w:eastAsia="Times New Roman" w:hAnsi="Times New Roman"/>
          <w:sz w:val="19"/>
          <w:szCs w:val="19"/>
          <w:b w:val="1"/>
          <w:bCs w:val="1"/>
          <w:u w:val="single" w:color="auto"/>
          <w:color w:val="auto"/>
        </w:rPr>
        <w:t>  </w:t>
      </w:r>
      <w:r>
        <w:rPr>
          <w:rFonts w:ascii="Times New Roman" w:cs="Times New Roman" w:eastAsia="Times New Roman" w:hAnsi="Times New Roman"/>
          <w:sz w:val="19"/>
          <w:szCs w:val="19"/>
          <w:u w:val="single" w:color="auto"/>
          <w:color w:val="auto"/>
        </w:rPr>
        <w:t>Section 9(e) </w:t>
      </w:r>
      <w:r>
        <w:rPr>
          <w:rFonts w:ascii="Times New Roman" w:cs="Times New Roman" w:eastAsia="Times New Roman" w:hAnsi="Times New Roman"/>
          <w:sz w:val="19"/>
          <w:szCs w:val="19"/>
          <w:color w:val="auto"/>
        </w:rPr>
        <w:t>regarding the Company’s retained rights to terminate your Continuous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Service notwithstanding the grant of the Option; and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b w:val="1"/>
          <w:bCs w:val="1"/>
          <w:u w:val="single" w:color="auto"/>
          <w:color w:val="auto"/>
        </w:rPr>
        <w:t>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regarding the tax consequences of your Option.</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rPr>
          <w:sz w:val="20"/>
          <w:szCs w:val="20"/>
          <w:color w:val="auto"/>
        </w:rPr>
      </w:pPr>
      <w:r>
        <w:rPr>
          <w:rFonts w:ascii="Times New Roman" w:cs="Times New Roman" w:eastAsia="Times New Roman" w:hAnsi="Times New Roman"/>
          <w:sz w:val="20"/>
          <w:szCs w:val="20"/>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2.             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20"/>
          <w:szCs w:val="20"/>
          <w:b w:val="1"/>
          <w:bCs w:val="1"/>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Your Option will vest as provided in your Grant Notice, subject to the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  </w:t>
      </w:r>
    </w:p>
    <w:p>
      <w:pPr>
        <w:spacing w:after="0" w:line="227" w:lineRule="exact"/>
        <w:rPr>
          <w:sz w:val="20"/>
          <w:szCs w:val="20"/>
          <w:color w:val="auto"/>
        </w:rPr>
      </w:pPr>
    </w:p>
    <w:p>
      <w:pPr>
        <w:jc w:val="both"/>
        <w:ind w:left="200" w:right="219" w:firstLine="1296"/>
        <w:spacing w:after="0"/>
        <w:rPr>
          <w:sz w:val="20"/>
          <w:szCs w:val="20"/>
          <w:color w:val="auto"/>
        </w:rPr>
      </w:pPr>
      <w:r>
        <w:rPr>
          <w:rFonts w:ascii="Times New Roman" w:cs="Times New Roman" w:eastAsia="Times New Roman" w:hAnsi="Times New Roman"/>
          <w:sz w:val="20"/>
          <w:szCs w:val="20"/>
          <w:b w:val="1"/>
          <w:bCs w:val="1"/>
          <w:color w:val="auto"/>
        </w:rPr>
        <w:t>(b)            </w:t>
      </w:r>
      <w:r>
        <w:rPr>
          <w:rFonts w:ascii="Times New Roman" w:cs="Times New Roman" w:eastAsia="Times New Roman" w:hAnsi="Times New Roman"/>
          <w:sz w:val="20"/>
          <w:szCs w:val="20"/>
          <w:color w:val="auto"/>
        </w:rPr>
        <w:t>If any payment or benefit you would receive from the Company or otherwise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connection with a Change in Control or other similar transaction (a </w:t>
      </w:r>
      <w:r>
        <w:rPr>
          <w:rFonts w:ascii="Times New Roman" w:cs="Times New Roman" w:eastAsia="Times New Roman" w:hAnsi="Times New Roman"/>
          <w:sz w:val="20"/>
          <w:szCs w:val="20"/>
          <w:b w:val="1"/>
          <w:bCs w:val="1"/>
          <w:i w:val="1"/>
          <w:iCs w:val="1"/>
          <w:color w:val="auto"/>
        </w:rPr>
        <w:t>“280G Payment”</w:t>
      </w:r>
      <w:r>
        <w:rPr>
          <w:rFonts w:ascii="Times New Roman" w:cs="Times New Roman" w:eastAsia="Times New Roman" w:hAnsi="Times New Roman"/>
          <w:sz w:val="20"/>
          <w:szCs w:val="20"/>
          <w:color w:val="auto"/>
        </w:rPr>
        <w:t xml:space="preserve">)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xml:space="preserve">), then any such 280G Payment (a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xml:space="preserve">) shall be equal to the Reduced Amount. The </w:t>
      </w:r>
      <w:r>
        <w:rPr>
          <w:rFonts w:ascii="Times New Roman" w:cs="Times New Roman" w:eastAsia="Times New Roman" w:hAnsi="Times New Roman"/>
          <w:sz w:val="20"/>
          <w:szCs w:val="20"/>
          <w:b w:val="1"/>
          <w:bCs w:val="1"/>
          <w:i w:val="1"/>
          <w:iCs w:val="1"/>
          <w:color w:val="auto"/>
        </w:rPr>
        <w:t>“Reduced Amount”</w:t>
      </w:r>
      <w:r>
        <w:rPr>
          <w:rFonts w:ascii="Times New Roman" w:cs="Times New Roman" w:eastAsia="Times New Roman" w:hAnsi="Times New Roman"/>
          <w:sz w:val="20"/>
          <w:szCs w:val="20"/>
          <w:color w:val="auto"/>
        </w:rPr>
        <w:t xml:space="preserve">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2" w:right="1440" w:bottom="1440" w:gutter="0" w:footer="0" w:header="0"/>
        </w:sectPr>
      </w:pPr>
    </w:p>
    <w:bookmarkStart w:id="281" w:name="page282"/>
    <w:bookmarkEnd w:id="281"/>
    <w:p>
      <w:pPr>
        <w:ind w:left="200"/>
        <w:spacing w:after="0"/>
        <w:rPr>
          <w:sz w:val="20"/>
          <w:szCs w:val="20"/>
          <w:color w:val="auto"/>
        </w:rPr>
      </w:pPr>
      <w:r>
        <w:rPr>
          <w:rFonts w:ascii="Times New Roman" w:cs="Times New Roman" w:eastAsia="Times New Roman" w:hAnsi="Times New Roman"/>
          <w:sz w:val="19"/>
          <w:szCs w:val="19"/>
          <w:color w:val="auto"/>
        </w:rPr>
        <w:t>economic benefit notwithstanding that all or some portion of the Payment may be subject to the Excise Tax.</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If a reduction in a Payment is required pursuant to the preceding sentence and the Reduced Amount is</w:t>
      </w:r>
    </w:p>
    <w:p>
      <w:pPr>
        <w:ind w:left="200"/>
        <w:spacing w:after="0"/>
        <w:rPr>
          <w:sz w:val="20"/>
          <w:szCs w:val="20"/>
          <w:color w:val="auto"/>
        </w:rPr>
      </w:pPr>
      <w:r>
        <w:rPr>
          <w:rFonts w:ascii="Times New Roman" w:cs="Times New Roman" w:eastAsia="Times New Roman" w:hAnsi="Times New Roman"/>
          <w:sz w:val="20"/>
          <w:szCs w:val="20"/>
          <w:color w:val="auto"/>
        </w:rPr>
        <w:t>determined pursuant to clause (x) of the preceding sentence, the reduction shall occur in the manner (the</w:t>
      </w: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“Reduction Method”</w:t>
      </w:r>
      <w:r>
        <w:rPr>
          <w:rFonts w:ascii="Times New Roman" w:cs="Times New Roman" w:eastAsia="Times New Roman" w:hAnsi="Times New Roman"/>
          <w:sz w:val="20"/>
          <w:szCs w:val="20"/>
          <w:color w:val="auto"/>
        </w:rPr>
        <w:t>) that results in the greatest economic benefit for you. If more than one method of</w:t>
      </w:r>
    </w:p>
    <w:p>
      <w:pPr>
        <w:ind w:left="200"/>
        <w:spacing w:after="0"/>
        <w:rPr>
          <w:sz w:val="20"/>
          <w:szCs w:val="20"/>
          <w:color w:val="auto"/>
        </w:rPr>
      </w:pPr>
      <w:r>
        <w:rPr>
          <w:rFonts w:ascii="Times New Roman" w:cs="Times New Roman" w:eastAsia="Times New Roman" w:hAnsi="Times New Roman"/>
          <w:sz w:val="20"/>
          <w:szCs w:val="20"/>
          <w:color w:val="auto"/>
        </w:rPr>
        <w:t xml:space="preserve">reduction will result in the same economic benefit, the items so reduced will be reduced pro rata (the </w:t>
      </w:r>
      <w:r>
        <w:rPr>
          <w:rFonts w:ascii="Times New Roman" w:cs="Times New Roman" w:eastAsia="Times New Roman" w:hAnsi="Times New Roman"/>
          <w:sz w:val="20"/>
          <w:szCs w:val="20"/>
          <w:b w:val="1"/>
          <w:bCs w:val="1"/>
          <w:i w:val="1"/>
          <w:iCs w:val="1"/>
          <w:color w:val="auto"/>
        </w:rPr>
        <w:t>“Pro</w:t>
      </w: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Rata Reduction Method”</w:t>
      </w:r>
      <w:r>
        <w:rPr>
          <w:rFonts w:ascii="Times New Roman" w:cs="Times New Roman" w:eastAsia="Times New Roman" w:hAnsi="Times New Roman"/>
          <w:sz w:val="20"/>
          <w:szCs w:val="20"/>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Notwithstanding the foregoing, if the Reduction Method or the Pro Rata Reduction Method would</w:t>
      </w:r>
    </w:p>
    <w:p>
      <w:pPr>
        <w:ind w:left="200"/>
        <w:spacing w:after="0"/>
        <w:rPr>
          <w:sz w:val="20"/>
          <w:szCs w:val="20"/>
          <w:color w:val="auto"/>
        </w:rPr>
      </w:pPr>
      <w:r>
        <w:rPr>
          <w:rFonts w:ascii="Times New Roman" w:cs="Times New Roman" w:eastAsia="Times New Roman" w:hAnsi="Times New Roman"/>
          <w:sz w:val="19"/>
          <w:szCs w:val="19"/>
          <w:color w:val="auto"/>
        </w:rPr>
        <w:t>result in any portion of the Payment being subject to taxes pursuant to Section 409A of the Code that would</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not otherwise be subject to taxes pursuant to Section 409A of the Code, then the Reduction Method and/or</w:t>
      </w:r>
    </w:p>
    <w:p>
      <w:pPr>
        <w:ind w:left="200"/>
        <w:spacing w:after="0"/>
        <w:rPr>
          <w:sz w:val="20"/>
          <w:szCs w:val="20"/>
          <w:color w:val="auto"/>
        </w:rPr>
      </w:pPr>
      <w:r>
        <w:rPr>
          <w:rFonts w:ascii="Times New Roman" w:cs="Times New Roman" w:eastAsia="Times New Roman" w:hAnsi="Times New Roman"/>
          <w:sz w:val="19"/>
          <w:szCs w:val="19"/>
          <w:color w:val="auto"/>
        </w:rPr>
        <w:t>the Pro Rata Reduction Method, as the case may be, shall be modified so as to avoid the imposition of taxes</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pursuant to Section 409A of the Code as follows: (A) as a first priority, the modification shall preserve to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greatest extent possible, the greatest economic benefit for you as determined on an after-tax basis; (B) as a</w:t>
      </w:r>
    </w:p>
    <w:p>
      <w:pPr>
        <w:ind w:left="200"/>
        <w:spacing w:after="0"/>
        <w:rPr>
          <w:sz w:val="20"/>
          <w:szCs w:val="20"/>
          <w:color w:val="auto"/>
        </w:rPr>
      </w:pPr>
      <w:r>
        <w:rPr>
          <w:rFonts w:ascii="Times New Roman" w:cs="Times New Roman" w:eastAsia="Times New Roman" w:hAnsi="Times New Roman"/>
          <w:sz w:val="20"/>
          <w:szCs w:val="20"/>
          <w:color w:val="auto"/>
        </w:rPr>
        <w:t>second priority, Payments that are contingent on future events (e.g., being terminated without cause), shall</w:t>
      </w:r>
    </w:p>
    <w:p>
      <w:pPr>
        <w:ind w:left="200"/>
        <w:spacing w:after="0"/>
        <w:rPr>
          <w:sz w:val="20"/>
          <w:szCs w:val="20"/>
          <w:color w:val="auto"/>
        </w:rPr>
      </w:pPr>
      <w:r>
        <w:rPr>
          <w:rFonts w:ascii="Times New Roman" w:cs="Times New Roman" w:eastAsia="Times New Roman" w:hAnsi="Times New Roman"/>
          <w:sz w:val="20"/>
          <w:szCs w:val="20"/>
          <w:color w:val="auto"/>
        </w:rPr>
        <w:t>be reduced (or eliminated) before Payments that are not contingent on future events; and (C) as a third</w:t>
      </w:r>
    </w:p>
    <w:p>
      <w:pPr>
        <w:ind w:left="200"/>
        <w:spacing w:after="0"/>
        <w:rPr>
          <w:sz w:val="20"/>
          <w:szCs w:val="20"/>
          <w:color w:val="auto"/>
        </w:rPr>
      </w:pPr>
      <w:r>
        <w:rPr>
          <w:rFonts w:ascii="Times New Roman" w:cs="Times New Roman" w:eastAsia="Times New Roman" w:hAnsi="Times New Roman"/>
          <w:sz w:val="20"/>
          <w:szCs w:val="20"/>
          <w:color w:val="auto"/>
        </w:rPr>
        <w:t>priority, Payments that are “deferred compensation” within the meaning of Section 409A of the Code shall</w:t>
      </w:r>
    </w:p>
    <w:p>
      <w:pPr>
        <w:ind w:left="200"/>
        <w:spacing w:after="0"/>
        <w:rPr>
          <w:sz w:val="20"/>
          <w:szCs w:val="20"/>
          <w:color w:val="auto"/>
        </w:rPr>
      </w:pPr>
      <w:r>
        <w:rPr>
          <w:rFonts w:ascii="Times New Roman" w:cs="Times New Roman" w:eastAsia="Times New Roman" w:hAnsi="Times New Roman"/>
          <w:sz w:val="20"/>
          <w:szCs w:val="20"/>
          <w:color w:val="auto"/>
        </w:rPr>
        <w:t>be reduced (or eliminated) before Payments that are not deferred compensation within the meaning of</w:t>
      </w:r>
    </w:p>
    <w:p>
      <w:pPr>
        <w:ind w:left="200"/>
        <w:spacing w:after="0"/>
        <w:rPr>
          <w:sz w:val="20"/>
          <w:szCs w:val="20"/>
          <w:color w:val="auto"/>
        </w:rPr>
      </w:pPr>
      <w:r>
        <w:rPr>
          <w:rFonts w:ascii="Times New Roman" w:cs="Times New Roman" w:eastAsia="Times New Roman" w:hAnsi="Times New Roman"/>
          <w:sz w:val="20"/>
          <w:szCs w:val="20"/>
          <w:color w:val="auto"/>
        </w:rPr>
        <w:t>Section 409A of the Code.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Unless you and the Company agree on an alternative accounting firm, the accounting firm engaged</w:t>
      </w:r>
    </w:p>
    <w:p>
      <w:pPr>
        <w:ind w:left="200"/>
        <w:spacing w:after="0"/>
        <w:rPr>
          <w:sz w:val="20"/>
          <w:szCs w:val="20"/>
          <w:color w:val="auto"/>
        </w:rPr>
      </w:pPr>
      <w:r>
        <w:rPr>
          <w:rFonts w:ascii="Times New Roman" w:cs="Times New Roman" w:eastAsia="Times New Roman" w:hAnsi="Times New Roman"/>
          <w:sz w:val="20"/>
          <w:szCs w:val="20"/>
          <w:color w:val="auto"/>
        </w:rPr>
        <w:t>by the Company for general tax compliance purposes as of the day prior to the effective date of the change</w:t>
      </w:r>
    </w:p>
    <w:p>
      <w:pPr>
        <w:ind w:left="200"/>
        <w:spacing w:after="0"/>
        <w:rPr>
          <w:sz w:val="20"/>
          <w:szCs w:val="20"/>
          <w:color w:val="auto"/>
        </w:rPr>
      </w:pPr>
      <w:r>
        <w:rPr>
          <w:rFonts w:ascii="Times New Roman" w:cs="Times New Roman" w:eastAsia="Times New Roman" w:hAnsi="Times New Roman"/>
          <w:sz w:val="20"/>
          <w:szCs w:val="20"/>
          <w:color w:val="auto"/>
        </w:rPr>
        <w:t>of control transaction triggering the Payment shall perform the foregoing calculations. If the accounting</w:t>
      </w:r>
    </w:p>
    <w:p>
      <w:pPr>
        <w:ind w:left="200"/>
        <w:spacing w:after="0"/>
        <w:rPr>
          <w:sz w:val="20"/>
          <w:szCs w:val="20"/>
          <w:color w:val="auto"/>
        </w:rPr>
      </w:pPr>
      <w:r>
        <w:rPr>
          <w:rFonts w:ascii="Times New Roman" w:cs="Times New Roman" w:eastAsia="Times New Roman" w:hAnsi="Times New Roman"/>
          <w:sz w:val="20"/>
          <w:szCs w:val="20"/>
          <w:color w:val="auto"/>
        </w:rPr>
        <w:t>firm so engaged by the Company is serving as accountant or auditor for the individual, entity or group</w:t>
      </w:r>
    </w:p>
    <w:p>
      <w:pPr>
        <w:ind w:left="200"/>
        <w:spacing w:after="0"/>
        <w:rPr>
          <w:sz w:val="20"/>
          <w:szCs w:val="20"/>
          <w:color w:val="auto"/>
        </w:rPr>
      </w:pPr>
      <w:r>
        <w:rPr>
          <w:rFonts w:ascii="Times New Roman" w:cs="Times New Roman" w:eastAsia="Times New Roman" w:hAnsi="Times New Roman"/>
          <w:sz w:val="20"/>
          <w:szCs w:val="20"/>
          <w:color w:val="auto"/>
        </w:rPr>
        <w:t>effecting the change of control transaction, the Company shall appoint a nationally recognized accounting</w:t>
      </w:r>
    </w:p>
    <w:p>
      <w:pPr>
        <w:ind w:left="200"/>
        <w:spacing w:after="0"/>
        <w:rPr>
          <w:sz w:val="20"/>
          <w:szCs w:val="20"/>
          <w:color w:val="auto"/>
        </w:rPr>
      </w:pPr>
      <w:r>
        <w:rPr>
          <w:rFonts w:ascii="Times New Roman" w:cs="Times New Roman" w:eastAsia="Times New Roman" w:hAnsi="Times New Roman"/>
          <w:sz w:val="20"/>
          <w:szCs w:val="20"/>
          <w:color w:val="auto"/>
        </w:rPr>
        <w:t>firm to make the determinations required hereunder. The Company shall bear all expenses with respect to</w:t>
      </w:r>
    </w:p>
    <w:p>
      <w:pPr>
        <w:ind w:left="200"/>
        <w:spacing w:after="0"/>
        <w:rPr>
          <w:sz w:val="20"/>
          <w:szCs w:val="20"/>
          <w:color w:val="auto"/>
        </w:rPr>
      </w:pPr>
      <w:r>
        <w:rPr>
          <w:rFonts w:ascii="Times New Roman" w:cs="Times New Roman" w:eastAsia="Times New Roman" w:hAnsi="Times New Roman"/>
          <w:sz w:val="20"/>
          <w:szCs w:val="20"/>
          <w:color w:val="auto"/>
        </w:rPr>
        <w:t>the determinations by such accounting firm required to be made hereunder. The Company shall use</w:t>
      </w:r>
    </w:p>
    <w:p>
      <w:pPr>
        <w:ind w:left="200"/>
        <w:spacing w:after="0"/>
        <w:rPr>
          <w:sz w:val="20"/>
          <w:szCs w:val="20"/>
          <w:color w:val="auto"/>
        </w:rPr>
      </w:pPr>
      <w:r>
        <w:rPr>
          <w:rFonts w:ascii="Times New Roman" w:cs="Times New Roman" w:eastAsia="Times New Roman" w:hAnsi="Times New Roman"/>
          <w:sz w:val="19"/>
          <w:szCs w:val="19"/>
          <w:color w:val="auto"/>
        </w:rPr>
        <w:t>commercially reasonable efforts to cause the accounting firm engaged to make the determinations hereunder</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to provide its calculations, together with detailed supporting documentation, to you and the Company within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fifteen (15) calendar days after the date on which your right to a 280G Payment becomes reasonably likely</w:t>
      </w:r>
    </w:p>
    <w:p>
      <w:pPr>
        <w:ind w:left="200"/>
        <w:spacing w:after="0"/>
        <w:rPr>
          <w:sz w:val="20"/>
          <w:szCs w:val="20"/>
          <w:color w:val="auto"/>
        </w:rPr>
      </w:pPr>
      <w:r>
        <w:rPr>
          <w:rFonts w:ascii="Times New Roman" w:cs="Times New Roman" w:eastAsia="Times New Roman" w:hAnsi="Times New Roman"/>
          <w:sz w:val="20"/>
          <w:szCs w:val="20"/>
          <w:color w:val="auto"/>
        </w:rPr>
        <w:t>to occur (if requested at that time by you or the Company) or such other time as requested by you or the</w:t>
      </w:r>
    </w:p>
    <w:p>
      <w:pPr>
        <w:ind w:left="200"/>
        <w:spacing w:after="0"/>
        <w:rPr>
          <w:sz w:val="20"/>
          <w:szCs w:val="20"/>
          <w:color w:val="auto"/>
        </w:rPr>
      </w:pPr>
      <w:r>
        <w:rPr>
          <w:rFonts w:ascii="Times New Roman" w:cs="Times New Roman" w:eastAsia="Times New Roman" w:hAnsi="Times New Roman"/>
          <w:sz w:val="20"/>
          <w:szCs w:val="20"/>
          <w:color w:val="auto"/>
        </w:rPr>
        <w:t>Company.</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color w:val="auto"/>
        </w:rPr>
        <w:t xml:space="preserve">If you receive a Payment for which the Reduced Amount was determined pursuant to clause (x) of the first paragraph of this </w:t>
      </w:r>
      <w:r>
        <w:rPr>
          <w:rFonts w:ascii="Times New Roman" w:cs="Times New Roman" w:eastAsia="Times New Roman" w:hAnsi="Times New Roman"/>
          <w:sz w:val="20"/>
          <w:szCs w:val="20"/>
          <w:u w:val="single" w:color="auto"/>
          <w:color w:val="auto"/>
        </w:rPr>
        <w:t>Section 2(b) </w:t>
      </w:r>
      <w:r>
        <w:rPr>
          <w:rFonts w:ascii="Times New Roman" w:cs="Times New Roman" w:eastAsia="Times New Roman" w:hAnsi="Times New Roman"/>
          <w:sz w:val="20"/>
          <w:szCs w:val="20"/>
          <w:color w:val="auto"/>
        </w:rPr>
        <w:t xml:space="preserve">and the Internal Revenue Service determines thereafter that some portion of the Payment is subject to the Excise Tax, you shall promptly return to the Company a sufficient amount of the Payment (after reduction pursuant to clause (x) of the first paragraph of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xml:space="preserve">) so that no portion of the remaining Payment is subject to the Excise Tax. For the avoidance of doubt, if the Reduced Amount was determined pursuant to clause (y) in the first paragraph of this </w:t>
      </w:r>
      <w:r>
        <w:rPr>
          <w:rFonts w:ascii="Times New Roman" w:cs="Times New Roman" w:eastAsia="Times New Roman" w:hAnsi="Times New Roman"/>
          <w:sz w:val="20"/>
          <w:szCs w:val="20"/>
          <w:u w:val="single" w:color="auto"/>
          <w:color w:val="auto"/>
        </w:rPr>
        <w:t>Section 2(b)</w:t>
      </w:r>
      <w:r>
        <w:rPr>
          <w:rFonts w:ascii="Times New Roman" w:cs="Times New Roman" w:eastAsia="Times New Roman" w:hAnsi="Times New Roman"/>
          <w:sz w:val="20"/>
          <w:szCs w:val="20"/>
          <w:color w:val="auto"/>
        </w:rPr>
        <w:t>, you shall have no obligation to return any portion of the Payment pursuant to the preceding sentence.  </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3.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20"/>
          <w:szCs w:val="20"/>
          <w:b w:val="1"/>
          <w:bCs w:val="1"/>
          <w:color w:val="auto"/>
        </w:rPr>
        <w: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19"/>
          <w:szCs w:val="19"/>
          <w:b w:val="1"/>
          <w:bCs w:val="1"/>
          <w:color w:val="auto"/>
        </w:rPr>
        <w:t>(a)           </w:t>
      </w:r>
      <w:r>
        <w:rPr>
          <w:rFonts w:ascii="Times New Roman" w:cs="Times New Roman" w:eastAsia="Times New Roman" w:hAnsi="Times New Roman"/>
          <w:sz w:val="19"/>
          <w:szCs w:val="19"/>
          <w:color w:val="auto"/>
        </w:rPr>
        <w:t>You may generally exercise the vested portion of your Option for whole shares of the</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Common Stock at any time during its term by delivery of payment of the exercise price and applicable</w:t>
      </w:r>
    </w:p>
    <w:p>
      <w:pPr>
        <w:ind w:left="200"/>
        <w:spacing w:after="0"/>
        <w:rPr>
          <w:sz w:val="20"/>
          <w:szCs w:val="20"/>
          <w:color w:val="auto"/>
        </w:rPr>
      </w:pPr>
      <w:r>
        <w:rPr>
          <w:rFonts w:ascii="Times New Roman" w:cs="Times New Roman" w:eastAsia="Times New Roman" w:hAnsi="Times New Roman"/>
          <w:sz w:val="20"/>
          <w:szCs w:val="20"/>
          <w:color w:val="auto"/>
        </w:rPr>
        <w:t>withholding taxes and other required documentation to the Plan Administrator in accordance with the</w:t>
      </w:r>
    </w:p>
    <w:p>
      <w:pPr>
        <w:ind w:left="200"/>
        <w:spacing w:after="0"/>
        <w:rPr>
          <w:sz w:val="20"/>
          <w:szCs w:val="20"/>
          <w:color w:val="auto"/>
        </w:rPr>
      </w:pPr>
      <w:r>
        <w:rPr>
          <w:rFonts w:ascii="Times New Roman" w:cs="Times New Roman" w:eastAsia="Times New Roman" w:hAnsi="Times New Roman"/>
          <w:sz w:val="20"/>
          <w:szCs w:val="20"/>
          <w:color w:val="auto"/>
        </w:rPr>
        <w:t>exercise procedures established by the Plan Administrator, which may include an electronic submission.</w:t>
      </w:r>
    </w:p>
    <w:p>
      <w:pPr>
        <w:ind w:left="200"/>
        <w:spacing w:after="0"/>
        <w:rPr>
          <w:sz w:val="20"/>
          <w:szCs w:val="20"/>
          <w:color w:val="auto"/>
        </w:rPr>
      </w:pPr>
      <w:r>
        <w:rPr>
          <w:rFonts w:ascii="Times New Roman" w:cs="Times New Roman" w:eastAsia="Times New Roman" w:hAnsi="Times New Roman"/>
          <w:sz w:val="20"/>
          <w:szCs w:val="20"/>
          <w:color w:val="auto"/>
        </w:rPr>
        <w:t xml:space="preserve">Please review </w:t>
      </w:r>
      <w:r>
        <w:rPr>
          <w:rFonts w:ascii="Times New Roman" w:cs="Times New Roman" w:eastAsia="Times New Roman" w:hAnsi="Times New Roman"/>
          <w:sz w:val="20"/>
          <w:szCs w:val="20"/>
          <w:u w:val="single" w:color="auto"/>
          <w:color w:val="auto"/>
        </w:rPr>
        <w:t>Sections 4(i)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4(j) </w:t>
      </w: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7(b)(v) </w:t>
      </w:r>
      <w:r>
        <w:rPr>
          <w:rFonts w:ascii="Times New Roman" w:cs="Times New Roman" w:eastAsia="Times New Roman" w:hAnsi="Times New Roman"/>
          <w:sz w:val="20"/>
          <w:szCs w:val="20"/>
          <w:color w:val="auto"/>
        </w:rPr>
        <w:t>of the Plan, which may restrict or prohibit your ability to</w:t>
      </w:r>
    </w:p>
    <w:p>
      <w:pPr>
        <w:ind w:left="200"/>
        <w:spacing w:after="0"/>
        <w:rPr>
          <w:sz w:val="20"/>
          <w:szCs w:val="20"/>
          <w:color w:val="auto"/>
        </w:rPr>
      </w:pPr>
      <w:r>
        <w:rPr>
          <w:rFonts w:ascii="Times New Roman" w:cs="Times New Roman" w:eastAsia="Times New Roman" w:hAnsi="Times New Roman"/>
          <w:sz w:val="20"/>
          <w:szCs w:val="20"/>
          <w:color w:val="auto"/>
        </w:rPr>
        <w:t>exercise your Option during certain periods.</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82" w:name="page283"/>
    <w:bookmarkEnd w:id="282"/>
    <w:p>
      <w:pPr>
        <w:ind w:left="1500"/>
        <w:spacing w:after="0"/>
        <w:rPr>
          <w:sz w:val="20"/>
          <w:szCs w:val="20"/>
          <w:color w:val="auto"/>
        </w:rPr>
      </w:pPr>
      <w:r>
        <w:rPr>
          <w:rFonts w:ascii="Times New Roman" w:cs="Times New Roman" w:eastAsia="Times New Roman" w:hAnsi="Times New Roman"/>
          <w:sz w:val="19"/>
          <w:szCs w:val="19"/>
          <w:b w:val="1"/>
          <w:bCs w:val="1"/>
          <w:color w:val="auto"/>
        </w:rPr>
        <w:t>(b)           </w:t>
      </w:r>
      <w:r>
        <w:rPr>
          <w:rFonts w:ascii="Times New Roman" w:cs="Times New Roman" w:eastAsia="Times New Roman" w:hAnsi="Times New Roman"/>
          <w:sz w:val="19"/>
          <w:szCs w:val="19"/>
          <w:color w:val="auto"/>
        </w:rPr>
        <w:t>To the extent permitted by Applicable Law, you may pay your Option exercise price</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follows:</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160"/>
        <w:spacing w:after="0"/>
        <w:rPr>
          <w:sz w:val="20"/>
          <w:szCs w:val="20"/>
          <w:color w:val="auto"/>
        </w:rPr>
      </w:pPr>
      <w:r>
        <w:rPr>
          <w:rFonts w:ascii="Times New Roman" w:cs="Times New Roman" w:eastAsia="Times New Roman" w:hAnsi="Times New Roman"/>
          <w:sz w:val="20"/>
          <w:szCs w:val="20"/>
          <w:b w:val="1"/>
          <w:bCs w:val="1"/>
          <w:color w:val="auto"/>
        </w:rPr>
        <w:t>(i)            </w:t>
      </w:r>
      <w:r>
        <w:rPr>
          <w:rFonts w:ascii="Times New Roman" w:cs="Times New Roman" w:eastAsia="Times New Roman" w:hAnsi="Times New Roman"/>
          <w:sz w:val="20"/>
          <w:szCs w:val="20"/>
          <w:color w:val="auto"/>
        </w:rPr>
        <w:t>cash, check, bank draft or money order;</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160"/>
        <w:spacing w:after="0"/>
        <w:rPr>
          <w:sz w:val="20"/>
          <w:szCs w:val="20"/>
          <w:color w:val="auto"/>
        </w:rPr>
      </w:pPr>
      <w:r>
        <w:rPr>
          <w:rFonts w:ascii="Times New Roman" w:cs="Times New Roman" w:eastAsia="Times New Roman" w:hAnsi="Times New Roman"/>
          <w:sz w:val="20"/>
          <w:szCs w:val="20"/>
          <w:b w:val="1"/>
          <w:bCs w:val="1"/>
          <w:color w:val="auto"/>
        </w:rPr>
        <w:t>(ii)            </w:t>
      </w:r>
      <w:r>
        <w:rPr>
          <w:rFonts w:ascii="Times New Roman" w:cs="Times New Roman" w:eastAsia="Times New Roman" w:hAnsi="Times New Roman"/>
          <w:sz w:val="20"/>
          <w:szCs w:val="20"/>
          <w:color w:val="auto"/>
        </w:rPr>
        <w:t>subject to Company and/or Committee consent at the time of exercise,</w:t>
      </w:r>
    </w:p>
    <w:p>
      <w:pPr>
        <w:ind w:left="200"/>
        <w:spacing w:after="0"/>
        <w:rPr>
          <w:sz w:val="20"/>
          <w:szCs w:val="20"/>
          <w:color w:val="auto"/>
        </w:rPr>
      </w:pPr>
      <w:r>
        <w:rPr>
          <w:rFonts w:ascii="Times New Roman" w:cs="Times New Roman" w:eastAsia="Times New Roman" w:hAnsi="Times New Roman"/>
          <w:sz w:val="19"/>
          <w:szCs w:val="19"/>
          <w:color w:val="auto"/>
        </w:rPr>
        <w:t xml:space="preserve">pursuant to a “cashless exercise” program as further described in </w:t>
      </w:r>
      <w:r>
        <w:rPr>
          <w:rFonts w:ascii="Times New Roman" w:cs="Times New Roman" w:eastAsia="Times New Roman" w:hAnsi="Times New Roman"/>
          <w:sz w:val="19"/>
          <w:szCs w:val="19"/>
          <w:u w:val="single" w:color="auto"/>
          <w:color w:val="auto"/>
        </w:rPr>
        <w:t>Section 4(c)(ii) </w:t>
      </w:r>
      <w:r>
        <w:rPr>
          <w:rFonts w:ascii="Times New Roman" w:cs="Times New Roman" w:eastAsia="Times New Roman" w:hAnsi="Times New Roman"/>
          <w:sz w:val="19"/>
          <w:szCs w:val="19"/>
          <w:color w:val="auto"/>
        </w:rPr>
        <w:t>of the Plan if at the time of</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exercise the Common Stock is publicly traded;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160"/>
        <w:spacing w:after="0"/>
        <w:rPr>
          <w:sz w:val="20"/>
          <w:szCs w:val="20"/>
          <w:color w:val="auto"/>
        </w:rPr>
      </w:pPr>
      <w:r>
        <w:rPr>
          <w:rFonts w:ascii="Times New Roman" w:cs="Times New Roman" w:eastAsia="Times New Roman" w:hAnsi="Times New Roman"/>
          <w:sz w:val="20"/>
          <w:szCs w:val="20"/>
          <w:b w:val="1"/>
          <w:bCs w:val="1"/>
          <w:color w:val="auto"/>
        </w:rPr>
        <w:t>(iii)           </w:t>
      </w:r>
      <w:r>
        <w:rPr>
          <w:rFonts w:ascii="Times New Roman" w:cs="Times New Roman" w:eastAsia="Times New Roman" w:hAnsi="Times New Roman"/>
          <w:sz w:val="20"/>
          <w:szCs w:val="20"/>
          <w:color w:val="auto"/>
        </w:rPr>
        <w:t>subject to Company and/or Committee consent at the time of exercise, by</w:t>
      </w:r>
    </w:p>
    <w:p>
      <w:pPr>
        <w:ind w:left="200"/>
        <w:spacing w:after="0"/>
        <w:rPr>
          <w:sz w:val="20"/>
          <w:szCs w:val="20"/>
          <w:color w:val="auto"/>
        </w:rPr>
      </w:pPr>
      <w:r>
        <w:rPr>
          <w:rFonts w:ascii="Times New Roman" w:cs="Times New Roman" w:eastAsia="Times New Roman" w:hAnsi="Times New Roman"/>
          <w:sz w:val="20"/>
          <w:szCs w:val="20"/>
          <w:color w:val="auto"/>
        </w:rPr>
        <w:t xml:space="preserve">delivery of previously owned shares of the Common Stock as further described in </w:t>
      </w:r>
      <w:r>
        <w:rPr>
          <w:rFonts w:ascii="Times New Roman" w:cs="Times New Roman" w:eastAsia="Times New Roman" w:hAnsi="Times New Roman"/>
          <w:sz w:val="20"/>
          <w:szCs w:val="20"/>
          <w:u w:val="single" w:color="auto"/>
          <w:color w:val="auto"/>
        </w:rPr>
        <w:t>Section 4(c)(iii) </w:t>
      </w:r>
      <w:r>
        <w:rPr>
          <w:rFonts w:ascii="Times New Roman" w:cs="Times New Roman" w:eastAsia="Times New Roman" w:hAnsi="Times New Roman"/>
          <w:sz w:val="20"/>
          <w:szCs w:val="20"/>
          <w:color w:val="auto"/>
        </w:rPr>
        <w:t>of the</w:t>
      </w:r>
    </w:p>
    <w:p>
      <w:pPr>
        <w:ind w:left="200"/>
        <w:spacing w:after="0"/>
        <w:rPr>
          <w:sz w:val="20"/>
          <w:szCs w:val="20"/>
          <w:color w:val="auto"/>
        </w:rPr>
      </w:pPr>
      <w:r>
        <w:rPr>
          <w:rFonts w:ascii="Times New Roman" w:cs="Times New Roman" w:eastAsia="Times New Roman" w:hAnsi="Times New Roman"/>
          <w:sz w:val="20"/>
          <w:szCs w:val="20"/>
          <w:color w:val="auto"/>
        </w:rPr>
        <w:t>Plan; or</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1944"/>
        <w:spacing w:after="0"/>
        <w:rPr>
          <w:sz w:val="20"/>
          <w:szCs w:val="20"/>
          <w:color w:val="auto"/>
        </w:rPr>
      </w:pPr>
      <w:r>
        <w:rPr>
          <w:rFonts w:ascii="Times New Roman" w:cs="Times New Roman" w:eastAsia="Times New Roman" w:hAnsi="Times New Roman"/>
          <w:sz w:val="20"/>
          <w:szCs w:val="20"/>
          <w:b w:val="1"/>
          <w:bCs w:val="1"/>
          <w:color w:val="auto"/>
        </w:rPr>
        <w:t>(iv)            </w:t>
      </w:r>
      <w:r>
        <w:rPr>
          <w:rFonts w:ascii="Times New Roman" w:cs="Times New Roman" w:eastAsia="Times New Roman" w:hAnsi="Times New Roman"/>
          <w:sz w:val="20"/>
          <w:szCs w:val="20"/>
          <w:color w:val="auto"/>
        </w:rPr>
        <w:t>subject to Company and/or Committee consent at the time of exercise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“net exercise” arrangement as further described in </w:t>
      </w:r>
      <w:r>
        <w:rPr>
          <w:rFonts w:ascii="Times New Roman" w:cs="Times New Roman" w:eastAsia="Times New Roman" w:hAnsi="Times New Roman"/>
          <w:sz w:val="20"/>
          <w:szCs w:val="20"/>
          <w:u w:val="single" w:color="auto"/>
          <w:color w:val="auto"/>
        </w:rPr>
        <w:t>Section 4(c)(iv) </w:t>
      </w:r>
      <w:r>
        <w:rPr>
          <w:rFonts w:ascii="Times New Roman" w:cs="Times New Roman" w:eastAsia="Times New Roman" w:hAnsi="Times New Roman"/>
          <w:sz w:val="20"/>
          <w:szCs w:val="20"/>
          <w:color w:val="auto"/>
        </w:rPr>
        <w:t>of the Plan.  </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4.             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may not exercise your Option before the commencement of its term or after its</w:t>
      </w:r>
    </w:p>
    <w:p>
      <w:pPr>
        <w:ind w:left="200"/>
        <w:spacing w:after="0"/>
        <w:rPr>
          <w:sz w:val="20"/>
          <w:szCs w:val="20"/>
          <w:color w:val="auto"/>
        </w:rPr>
      </w:pPr>
      <w:r>
        <w:rPr>
          <w:rFonts w:ascii="Times New Roman" w:cs="Times New Roman" w:eastAsia="Times New Roman" w:hAnsi="Times New Roman"/>
          <w:sz w:val="20"/>
          <w:szCs w:val="20"/>
          <w:color w:val="auto"/>
        </w:rPr>
        <w:t>term expires. The term of your Option commences on the Date of Grant and expires upon the earliest of the</w:t>
      </w:r>
    </w:p>
    <w:p>
      <w:pPr>
        <w:ind w:left="200"/>
        <w:spacing w:after="0"/>
        <w:rPr>
          <w:sz w:val="20"/>
          <w:szCs w:val="20"/>
          <w:color w:val="auto"/>
        </w:rPr>
      </w:pPr>
      <w:r>
        <w:rPr>
          <w:rFonts w:ascii="Times New Roman" w:cs="Times New Roman" w:eastAsia="Times New Roman" w:hAnsi="Times New Roman"/>
          <w:sz w:val="20"/>
          <w:szCs w:val="20"/>
          <w:color w:val="auto"/>
        </w:rPr>
        <w:t>following:</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20"/>
          <w:szCs w:val="20"/>
          <w:b w:val="1"/>
          <w:bCs w:val="1"/>
          <w:color w:val="auto"/>
        </w:rPr>
        <w:t>(a)            </w:t>
      </w:r>
      <w:r>
        <w:rPr>
          <w:rFonts w:ascii="Times New Roman" w:cs="Times New Roman" w:eastAsia="Times New Roman" w:hAnsi="Times New Roman"/>
          <w:sz w:val="20"/>
          <w:szCs w:val="20"/>
          <w:color w:val="auto"/>
        </w:rPr>
        <w:t>immediately upon the termination of your Continuous Service for Cause;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1500"/>
        <w:spacing w:after="0"/>
        <w:rPr>
          <w:sz w:val="20"/>
          <w:szCs w:val="20"/>
          <w:color w:val="auto"/>
        </w:rPr>
      </w:pPr>
      <w:r>
        <w:rPr>
          <w:rFonts w:ascii="Times New Roman" w:cs="Times New Roman" w:eastAsia="Times New Roman" w:hAnsi="Times New Roman"/>
          <w:sz w:val="19"/>
          <w:szCs w:val="19"/>
          <w:b w:val="1"/>
          <w:bCs w:val="1"/>
          <w:color w:val="auto"/>
        </w:rPr>
        <w:t>(b)            </w:t>
      </w:r>
      <w:r>
        <w:rPr>
          <w:rFonts w:ascii="Times New Roman" w:cs="Times New Roman" w:eastAsia="Times New Roman" w:hAnsi="Times New Roman"/>
          <w:sz w:val="19"/>
          <w:szCs w:val="19"/>
          <w:color w:val="auto"/>
        </w:rPr>
        <w:t>12 months after the termination of your Continuous Service for any reason other than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Cause or death;</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            </w:t>
      </w:r>
      <w:r>
        <w:rPr>
          <w:rFonts w:ascii="Times New Roman" w:cs="Times New Roman" w:eastAsia="Times New Roman" w:hAnsi="Times New Roman"/>
          <w:sz w:val="20"/>
          <w:szCs w:val="20"/>
          <w:color w:val="auto"/>
        </w:rPr>
        <w:t>18 months after your death if you die during your Continuous Service;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39" w:firstLine="1296"/>
        <w:spacing w:after="0"/>
        <w:rPr>
          <w:sz w:val="20"/>
          <w:szCs w:val="20"/>
          <w:color w:val="auto"/>
        </w:rPr>
      </w:pPr>
      <w:r>
        <w:rPr>
          <w:rFonts w:ascii="Times New Roman" w:cs="Times New Roman" w:eastAsia="Times New Roman" w:hAnsi="Times New Roman"/>
          <w:sz w:val="20"/>
          <w:szCs w:val="20"/>
          <w:b w:val="1"/>
          <w:bCs w:val="1"/>
          <w:color w:val="auto"/>
        </w:rPr>
        <w:t>(d)            </w:t>
      </w:r>
      <w:r>
        <w:rPr>
          <w:rFonts w:ascii="Times New Roman" w:cs="Times New Roman" w:eastAsia="Times New Roman" w:hAnsi="Times New Roman"/>
          <w:sz w:val="20"/>
          <w:szCs w:val="20"/>
          <w:color w:val="auto"/>
        </w:rPr>
        <w:t>immediately upon a Corporate Transaction if the Board has determined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will terminate in connection with a Corporate Transaction;  </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(e)            </w:t>
      </w:r>
      <w:r>
        <w:rPr>
          <w:rFonts w:ascii="Times New Roman" w:cs="Times New Roman" w:eastAsia="Times New Roman" w:hAnsi="Times New Roman"/>
          <w:sz w:val="20"/>
          <w:szCs w:val="20"/>
          <w:color w:val="auto"/>
        </w:rPr>
        <w:t>the Expiration Date indicated in your Grant Notice; or</w:t>
      </w:r>
    </w:p>
    <w:p>
      <w:pPr>
        <w:ind w:left="200"/>
        <w:spacing w:after="0" w:line="238" w:lineRule="auto"/>
        <w:rPr>
          <w:sz w:val="20"/>
          <w:szCs w:val="20"/>
          <w:color w:val="auto"/>
        </w:rPr>
      </w:pPr>
      <w:r>
        <w:rPr>
          <w:rFonts w:ascii="Times New Roman" w:cs="Times New Roman" w:eastAsia="Times New Roman" w:hAnsi="Times New Roman"/>
          <w:sz w:val="20"/>
          <w:szCs w:val="20"/>
          <w:color w:val="auto"/>
        </w:rPr>
        <w:t> </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(f)            </w:t>
      </w:r>
      <w:r>
        <w:rPr>
          <w:rFonts w:ascii="Times New Roman" w:cs="Times New Roman" w:eastAsia="Times New Roman" w:hAnsi="Times New Roman"/>
          <w:sz w:val="20"/>
          <w:szCs w:val="20"/>
          <w:color w:val="auto"/>
        </w:rPr>
        <w:t>the day before the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of the Date of Grant.</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color w:val="auto"/>
        </w:rPr>
        <w:t xml:space="preserve">Notwithstanding the foregoing, if you die during the period provided in </w:t>
      </w:r>
      <w:r>
        <w:rPr>
          <w:rFonts w:ascii="Times New Roman" w:cs="Times New Roman" w:eastAsia="Times New Roman" w:hAnsi="Times New Roman"/>
          <w:sz w:val="20"/>
          <w:szCs w:val="20"/>
          <w:u w:val="single" w:color="auto"/>
          <w:color w:val="auto"/>
        </w:rPr>
        <w:t>Section 4(b) </w:t>
      </w:r>
      <w:r>
        <w:rPr>
          <w:rFonts w:ascii="Times New Roman" w:cs="Times New Roman" w:eastAsia="Times New Roman" w:hAnsi="Times New Roman"/>
          <w:sz w:val="20"/>
          <w:szCs w:val="20"/>
          <w:color w:val="auto"/>
        </w:rPr>
        <w:t xml:space="preserve">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w:t>
      </w:r>
      <w:r>
        <w:rPr>
          <w:rFonts w:ascii="Times New Roman" w:cs="Times New Roman" w:eastAsia="Times New Roman" w:hAnsi="Times New Roman"/>
          <w:sz w:val="20"/>
          <w:szCs w:val="20"/>
          <w:u w:val="single" w:color="auto"/>
          <w:color w:val="auto"/>
        </w:rPr>
        <w:t>Section 4(i) </w:t>
      </w:r>
      <w:r>
        <w:rPr>
          <w:rFonts w:ascii="Times New Roman" w:cs="Times New Roman" w:eastAsia="Times New Roman" w:hAnsi="Times New Roman"/>
          <w:sz w:val="20"/>
          <w:szCs w:val="20"/>
          <w:color w:val="auto"/>
        </w:rPr>
        <w:t>of the Plan.  </w:t>
      </w:r>
    </w:p>
    <w:p>
      <w:pPr>
        <w:spacing w:after="0" w:line="227" w:lineRule="exact"/>
        <w:rPr>
          <w:sz w:val="20"/>
          <w:szCs w:val="20"/>
          <w:color w:val="auto"/>
        </w:rPr>
      </w:pPr>
    </w:p>
    <w:p>
      <w:pPr>
        <w:jc w:val="both"/>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5.             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further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(a) you may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the Common Stock subject to your Option, unless and until such obligations are satisfied. In the event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83" w:name="page284"/>
    <w:bookmarkEnd w:id="283"/>
    <w:p>
      <w:pPr>
        <w:ind w:left="200" w:right="219"/>
        <w:spacing w:after="0" w:line="247" w:lineRule="auto"/>
        <w:rPr>
          <w:sz w:val="20"/>
          <w:szCs w:val="20"/>
          <w:color w:val="auto"/>
        </w:rPr>
      </w:pPr>
      <w:r>
        <w:rPr>
          <w:rFonts w:ascii="Times New Roman" w:cs="Times New Roman" w:eastAsia="Times New Roman" w:hAnsi="Times New Roman"/>
          <w:sz w:val="20"/>
          <w:szCs w:val="20"/>
          <w:color w:val="auto"/>
        </w:rPr>
        <w:t>amount of the Company’s withholding obligation in connection with your Option was greater than the amount actually withheld by the Company, you agree to indemnify and hold the Company harmless from any failure by the Company to withhold the proper amount.  </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6.             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4(e) </w:t>
      </w:r>
      <w:r>
        <w:rPr>
          <w:rFonts w:ascii="Times New Roman" w:cs="Times New Roman" w:eastAsia="Times New Roman" w:hAnsi="Times New Roman"/>
          <w:sz w:val="20"/>
          <w:szCs w:val="20"/>
          <w:color w:val="auto"/>
        </w:rPr>
        <w:t>of the Plan, your Option is not</w:t>
      </w:r>
    </w:p>
    <w:p>
      <w:pPr>
        <w:ind w:left="200"/>
        <w:spacing w:after="0"/>
        <w:rPr>
          <w:sz w:val="20"/>
          <w:szCs w:val="20"/>
          <w:color w:val="auto"/>
        </w:rPr>
      </w:pPr>
      <w:r>
        <w:rPr>
          <w:rFonts w:ascii="Times New Roman" w:cs="Times New Roman" w:eastAsia="Times New Roman" w:hAnsi="Times New Roman"/>
          <w:sz w:val="20"/>
          <w:szCs w:val="20"/>
          <w:color w:val="auto"/>
        </w:rPr>
        <w:t>transferable, except by will or by the applicable laws of descent and distribution, and is exercisable during</w:t>
      </w:r>
    </w:p>
    <w:p>
      <w:pPr>
        <w:ind w:left="200"/>
        <w:spacing w:after="0"/>
        <w:rPr>
          <w:sz w:val="20"/>
          <w:szCs w:val="20"/>
          <w:color w:val="auto"/>
        </w:rPr>
      </w:pPr>
      <w:r>
        <w:rPr>
          <w:rFonts w:ascii="Times New Roman" w:cs="Times New Roman" w:eastAsia="Times New Roman" w:hAnsi="Times New Roman"/>
          <w:sz w:val="20"/>
          <w:szCs w:val="20"/>
          <w:color w:val="auto"/>
        </w:rPr>
        <w:t>your life only by you.</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b w:val="1"/>
          <w:bCs w:val="1"/>
          <w:color w:val="auto"/>
        </w:rPr>
        <w:t>7.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Option is subject to the terms of any agreement governing a</w:t>
      </w:r>
    </w:p>
    <w:p>
      <w:pPr>
        <w:ind w:left="200"/>
        <w:spacing w:after="0"/>
        <w:rPr>
          <w:sz w:val="20"/>
          <w:szCs w:val="20"/>
          <w:color w:val="auto"/>
        </w:rPr>
      </w:pPr>
      <w:r>
        <w:rPr>
          <w:rFonts w:ascii="Times New Roman" w:cs="Times New Roman" w:eastAsia="Times New Roman" w:hAnsi="Times New Roman"/>
          <w:sz w:val="20"/>
          <w:szCs w:val="20"/>
          <w:color w:val="auto"/>
        </w:rPr>
        <w:t>Corporate  Transaction  involving  the  Company,  including,  without  limitation,  a  provision  for  the</w:t>
      </w:r>
    </w:p>
    <w:p>
      <w:pPr>
        <w:ind w:left="200"/>
        <w:spacing w:after="0"/>
        <w:rPr>
          <w:sz w:val="20"/>
          <w:szCs w:val="20"/>
          <w:color w:val="auto"/>
        </w:rPr>
      </w:pPr>
      <w:r>
        <w:rPr>
          <w:rFonts w:ascii="Times New Roman" w:cs="Times New Roman" w:eastAsia="Times New Roman" w:hAnsi="Times New Roman"/>
          <w:sz w:val="20"/>
          <w:szCs w:val="20"/>
          <w:color w:val="auto"/>
        </w:rPr>
        <w:t>appointment of a stockholder representative that is authorized to act on your behalf with respect to any</w:t>
      </w:r>
    </w:p>
    <w:p>
      <w:pPr>
        <w:ind w:left="200"/>
        <w:spacing w:after="0"/>
        <w:rPr>
          <w:sz w:val="20"/>
          <w:szCs w:val="20"/>
          <w:color w:val="auto"/>
        </w:rPr>
      </w:pPr>
      <w:r>
        <w:rPr>
          <w:rFonts w:ascii="Times New Roman" w:cs="Times New Roman" w:eastAsia="Times New Roman" w:hAnsi="Times New Roman"/>
          <w:sz w:val="20"/>
          <w:szCs w:val="20"/>
          <w:color w:val="auto"/>
        </w:rPr>
        <w:t>escrow, indemnities and any contingent consideration.</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8.            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condition to accepting the Option, you hereby (a) agree to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  </w:t>
      </w: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9.             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color w:val="auto"/>
        </w:rPr>
        <w:t>. If any part of this Option Agreement or the Plan is declared by any court or</w:t>
      </w:r>
    </w:p>
    <w:p>
      <w:pPr>
        <w:ind w:left="200"/>
        <w:spacing w:after="0"/>
        <w:rPr>
          <w:sz w:val="20"/>
          <w:szCs w:val="20"/>
          <w:color w:val="auto"/>
        </w:rPr>
      </w:pPr>
      <w:r>
        <w:rPr>
          <w:rFonts w:ascii="Times New Roman" w:cs="Times New Roman" w:eastAsia="Times New Roman" w:hAnsi="Times New Roman"/>
          <w:sz w:val="20"/>
          <w:szCs w:val="20"/>
          <w:color w:val="auto"/>
        </w:rPr>
        <w:t>governmental authority to be unlawful or invalid, such unlawfulness or invalidity will not invalidate any</w:t>
      </w:r>
    </w:p>
    <w:p>
      <w:pPr>
        <w:ind w:left="200"/>
        <w:spacing w:after="0"/>
        <w:rPr>
          <w:sz w:val="20"/>
          <w:szCs w:val="20"/>
          <w:color w:val="auto"/>
        </w:rPr>
      </w:pPr>
      <w:r>
        <w:rPr>
          <w:rFonts w:ascii="Times New Roman" w:cs="Times New Roman" w:eastAsia="Times New Roman" w:hAnsi="Times New Roman"/>
          <w:sz w:val="20"/>
          <w:szCs w:val="20"/>
          <w:color w:val="auto"/>
        </w:rPr>
        <w:t>portion of this Option Agreement or the Plan not declared to be unlawful or invalid. Any Section of this</w:t>
      </w:r>
    </w:p>
    <w:p>
      <w:pPr>
        <w:ind w:left="200"/>
        <w:spacing w:after="0"/>
        <w:rPr>
          <w:sz w:val="20"/>
          <w:szCs w:val="20"/>
          <w:color w:val="auto"/>
        </w:rPr>
      </w:pPr>
      <w:r>
        <w:rPr>
          <w:rFonts w:ascii="Times New Roman" w:cs="Times New Roman" w:eastAsia="Times New Roman" w:hAnsi="Times New Roman"/>
          <w:sz w:val="20"/>
          <w:szCs w:val="20"/>
          <w:color w:val="auto"/>
        </w:rPr>
        <w:t>Option Agreement (or part of such a Section) so declared to be unlawful or invalid will, if possible, be</w:t>
      </w:r>
    </w:p>
    <w:p>
      <w:pPr>
        <w:ind w:left="200"/>
        <w:spacing w:after="0"/>
        <w:rPr>
          <w:sz w:val="20"/>
          <w:szCs w:val="20"/>
          <w:color w:val="auto"/>
        </w:rPr>
      </w:pPr>
      <w:r>
        <w:rPr>
          <w:rFonts w:ascii="Times New Roman" w:cs="Times New Roman" w:eastAsia="Times New Roman" w:hAnsi="Times New Roman"/>
          <w:sz w:val="20"/>
          <w:szCs w:val="20"/>
          <w:color w:val="auto"/>
        </w:rPr>
        <w:t>construed in a manner which will give effect to the terms of such Section or part of a Section to the fullest</w:t>
      </w:r>
    </w:p>
    <w:p>
      <w:pPr>
        <w:ind w:left="200"/>
        <w:spacing w:after="0"/>
        <w:rPr>
          <w:sz w:val="20"/>
          <w:szCs w:val="20"/>
          <w:color w:val="auto"/>
        </w:rPr>
      </w:pPr>
      <w:r>
        <w:rPr>
          <w:rFonts w:ascii="Times New Roman" w:cs="Times New Roman" w:eastAsia="Times New Roman" w:hAnsi="Times New Roman"/>
          <w:sz w:val="20"/>
          <w:szCs w:val="20"/>
          <w:color w:val="auto"/>
        </w:rPr>
        <w:t>extent possible while remaining lawful and valid</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right="219" w:firstLine="648"/>
        <w:spacing w:after="0"/>
        <w:rPr>
          <w:sz w:val="20"/>
          <w:szCs w:val="20"/>
          <w:color w:val="auto"/>
        </w:rPr>
      </w:pPr>
      <w:r>
        <w:rPr>
          <w:rFonts w:ascii="Times New Roman" w:cs="Times New Roman" w:eastAsia="Times New Roman" w:hAnsi="Times New Roman"/>
          <w:sz w:val="20"/>
          <w:szCs w:val="20"/>
          <w:b w:val="1"/>
          <w:bCs w:val="1"/>
          <w:color w:val="auto"/>
        </w:rPr>
        <w:t>10.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hereby acknowledge receipt of or the right to receive a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the information required by Rule 428(b)(1) promulgated under the Securities Act, which includes the Prospectus. In addition, you acknowledge and agree to be subject to the Company’s Trading Policy, which such Trading Policy has been or will be made available to you.  </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11.           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you have questions regarding these or any other terms and conditions</w:t>
      </w:r>
    </w:p>
    <w:p>
      <w:pPr>
        <w:ind w:left="200"/>
        <w:spacing w:after="0"/>
        <w:rPr>
          <w:sz w:val="20"/>
          <w:szCs w:val="20"/>
          <w:color w:val="auto"/>
        </w:rPr>
      </w:pPr>
      <w:r>
        <w:rPr>
          <w:rFonts w:ascii="Times New Roman" w:cs="Times New Roman" w:eastAsia="Times New Roman" w:hAnsi="Times New Roman"/>
          <w:sz w:val="20"/>
          <w:szCs w:val="20"/>
          <w:color w:val="auto"/>
        </w:rPr>
        <w:t>applicable to your Option, including a summary of the applicable federal income tax consequences please</w:t>
      </w:r>
    </w:p>
    <w:p>
      <w:pPr>
        <w:ind w:left="200"/>
        <w:spacing w:after="0"/>
        <w:rPr>
          <w:sz w:val="20"/>
          <w:szCs w:val="20"/>
          <w:color w:val="auto"/>
        </w:rPr>
      </w:pPr>
      <w:r>
        <w:rPr>
          <w:rFonts w:ascii="Times New Roman" w:cs="Times New Roman" w:eastAsia="Times New Roman" w:hAnsi="Times New Roman"/>
          <w:sz w:val="20"/>
          <w:szCs w:val="20"/>
          <w:color w:val="auto"/>
        </w:rPr>
        <w:t>see the Prospectus.</w:t>
      </w:r>
    </w:p>
    <w:p>
      <w:pPr>
        <w:ind w:left="200"/>
        <w:spacing w:after="0"/>
        <w:rPr>
          <w:sz w:val="20"/>
          <w:szCs w:val="20"/>
          <w:color w:val="auto"/>
        </w:rPr>
      </w:pP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color w:val="auto"/>
        </w:rPr>
        <w:t>* * * *</w:t>
      </w:r>
    </w:p>
    <w:p>
      <w:pPr>
        <w:ind w:left="200"/>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488950</wp:posOffset>
            </wp:positionV>
            <wp:extent cx="545211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2022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495935</wp:posOffset>
            </wp:positionV>
            <wp:extent cx="5452110"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85" w:name="page286"/>
    <w:bookmarkEnd w:id="28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METAVIA INC.</w:t>
      </w:r>
      <w:r>
        <w:rPr>
          <w:rFonts w:ascii="Times New Roman" w:cs="Times New Roman" w:eastAsia="Times New Roman" w:hAnsi="Times New Roman"/>
          <w:sz w:val="20"/>
          <w:szCs w:val="20"/>
          <w:color w:val="auto"/>
        </w:rPr>
        <w:t> </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(AMENDED AND RESTATED 2022 EQUITY INCENTIVE PLAN)</w:t>
      </w:r>
      <w:r>
        <w:rPr>
          <w:rFonts w:ascii="Times New Roman" w:cs="Times New Roman" w:eastAsia="Times New Roman" w:hAnsi="Times New Roman"/>
          <w:sz w:val="20"/>
          <w:szCs w:val="20"/>
          <w:color w:val="auto"/>
        </w:rPr>
        <w:t> </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200"/>
        <w:spacing w:after="0"/>
        <w:rPr>
          <w:sz w:val="20"/>
          <w:szCs w:val="20"/>
          <w:color w:val="auto"/>
        </w:rPr>
      </w:pPr>
      <w:r>
        <w:rPr>
          <w:rFonts w:ascii="Times New Roman" w:cs="Times New Roman" w:eastAsia="Times New Roman" w:hAnsi="Times New Roman"/>
          <w:sz w:val="20"/>
          <w:szCs w:val="20"/>
          <w:color w:val="auto"/>
        </w:rPr>
        <w:t>MetaVia Inc.</w:t>
      </w:r>
    </w:p>
    <w:p>
      <w:pPr>
        <w:ind w:left="200"/>
        <w:spacing w:after="0"/>
        <w:rPr>
          <w:sz w:val="20"/>
          <w:szCs w:val="20"/>
          <w:color w:val="auto"/>
        </w:rPr>
      </w:pPr>
      <w:r>
        <w:rPr>
          <w:rFonts w:ascii="Times New Roman" w:cs="Times New Roman" w:eastAsia="Times New Roman" w:hAnsi="Times New Roman"/>
          <w:sz w:val="20"/>
          <w:szCs w:val="20"/>
          <w:color w:val="auto"/>
        </w:rPr>
        <w:t>545 Concord Avenue, Suite 210</w:t>
      </w:r>
    </w:p>
    <w:p>
      <w:pPr>
        <w:ind w:left="200"/>
        <w:spacing w:after="0"/>
        <w:rPr>
          <w:sz w:val="20"/>
          <w:szCs w:val="20"/>
          <w:color w:val="auto"/>
        </w:rPr>
      </w:pPr>
      <w:r>
        <w:rPr>
          <w:rFonts w:ascii="Times New Roman" w:cs="Times New Roman" w:eastAsia="Times New Roman" w:hAnsi="Times New Roman"/>
          <w:sz w:val="20"/>
          <w:szCs w:val="20"/>
          <w:color w:val="auto"/>
        </w:rPr>
        <w:t>Cambridge, Massachusetts 02138</w:t>
      </w:r>
    </w:p>
    <w:p>
      <w:pPr>
        <w:ind w:left="200"/>
        <w:spacing w:after="0"/>
        <w:rPr>
          <w:sz w:val="20"/>
          <w:szCs w:val="20"/>
          <w:color w:val="auto"/>
        </w:rPr>
      </w:pPr>
      <w:r>
        <w:rPr>
          <w:rFonts w:ascii="Times New Roman" w:cs="Times New Roman" w:eastAsia="Times New Roman" w:hAnsi="Times New Roman"/>
          <w:sz w:val="20"/>
          <w:szCs w:val="20"/>
          <w:color w:val="auto"/>
        </w:rPr>
        <w:t>Attention: Chief Executive Officer</w:t>
      </w:r>
    </w:p>
    <w:p>
      <w:pPr>
        <w:ind w:left="200"/>
        <w:spacing w:after="0"/>
        <w:rPr>
          <w:sz w:val="20"/>
          <w:szCs w:val="20"/>
          <w:color w:val="auto"/>
        </w:rPr>
      </w:pPr>
      <w:r>
        <w:rPr>
          <w:rFonts w:ascii="Times New Roman" w:cs="Times New Roman" w:eastAsia="Times New Roman" w:hAnsi="Times New Roman"/>
          <w:sz w:val="20"/>
          <w:szCs w:val="20"/>
          <w:color w:val="auto"/>
        </w:rPr>
        <w:t> </w:t>
      </w:r>
    </w:p>
    <w:p>
      <w:pPr>
        <w:ind w:left="5800"/>
        <w:spacing w:after="0"/>
        <w:rPr>
          <w:sz w:val="20"/>
          <w:szCs w:val="20"/>
          <w:color w:val="auto"/>
        </w:rPr>
      </w:pPr>
      <w:r>
        <w:rPr>
          <w:rFonts w:ascii="Times New Roman" w:cs="Times New Roman" w:eastAsia="Times New Roman" w:hAnsi="Times New Roman"/>
          <w:sz w:val="19"/>
          <w:szCs w:val="19"/>
          <w:color w:val="auto"/>
        </w:rPr>
        <w:t>Date of Exercise: ________________</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w:t>
      </w:r>
    </w:p>
    <w:p>
      <w:pPr>
        <w:ind w:left="860"/>
        <w:spacing w:after="0"/>
        <w:rPr>
          <w:sz w:val="20"/>
          <w:szCs w:val="20"/>
          <w:color w:val="auto"/>
        </w:rPr>
      </w:pPr>
      <w:r>
        <w:rPr>
          <w:rFonts w:ascii="Times New Roman" w:cs="Times New Roman" w:eastAsia="Times New Roman" w:hAnsi="Times New Roman"/>
          <w:sz w:val="20"/>
          <w:szCs w:val="20"/>
          <w:color w:val="auto"/>
        </w:rPr>
        <w:t xml:space="preserve">This constitutes notice to MetaVia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that I elect to</w:t>
      </w:r>
    </w:p>
    <w:p>
      <w:pPr>
        <w:ind w:left="200"/>
        <w:spacing w:after="0"/>
        <w:rPr>
          <w:sz w:val="20"/>
          <w:szCs w:val="20"/>
          <w:color w:val="auto"/>
        </w:rPr>
      </w:pPr>
      <w:r>
        <w:rPr>
          <w:rFonts w:ascii="Times New Roman" w:cs="Times New Roman" w:eastAsia="Times New Roman" w:hAnsi="Times New Roman"/>
          <w:sz w:val="20"/>
          <w:szCs w:val="20"/>
          <w:color w:val="auto"/>
        </w:rPr>
        <w:t xml:space="preserve">purchase the below number of shares of the Common Stock of the Company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by exercising</w:t>
      </w:r>
    </w:p>
    <w:p>
      <w:pPr>
        <w:ind w:left="200"/>
        <w:spacing w:after="0"/>
        <w:rPr>
          <w:sz w:val="20"/>
          <w:szCs w:val="20"/>
          <w:color w:val="auto"/>
        </w:rPr>
      </w:pPr>
      <w:r>
        <w:rPr>
          <w:rFonts w:ascii="Times New Roman" w:cs="Times New Roman" w:eastAsia="Times New Roman" w:hAnsi="Times New Roman"/>
          <w:sz w:val="20"/>
          <w:szCs w:val="20"/>
          <w:color w:val="auto"/>
        </w:rPr>
        <w:t>my Option for the price set forth below. Capitalized terms not explicitly defined in this Notice of Exercise</w:t>
      </w:r>
    </w:p>
    <w:p>
      <w:pPr>
        <w:ind w:left="200"/>
        <w:spacing w:after="0"/>
        <w:rPr>
          <w:sz w:val="20"/>
          <w:szCs w:val="20"/>
          <w:color w:val="auto"/>
        </w:rPr>
      </w:pPr>
      <w:r>
        <w:rPr>
          <w:rFonts w:ascii="Times New Roman" w:cs="Times New Roman" w:eastAsia="Times New Roman" w:hAnsi="Times New Roman"/>
          <w:sz w:val="20"/>
          <w:szCs w:val="20"/>
          <w:color w:val="auto"/>
        </w:rPr>
        <w:t>but defined in the Grant Notice, Option Agreement or Amended and Restated 2022 Equity Incentive Plan</w:t>
      </w:r>
    </w:p>
    <w:p>
      <w:pPr>
        <w:ind w:left="20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shall have the meanings set forth therein, as applicable. Use of certain payment methods is</w:t>
      </w:r>
    </w:p>
    <w:p>
      <w:pPr>
        <w:ind w:left="200"/>
        <w:spacing w:after="0"/>
        <w:rPr>
          <w:sz w:val="20"/>
          <w:szCs w:val="20"/>
          <w:color w:val="auto"/>
        </w:rPr>
      </w:pPr>
      <w:r>
        <w:rPr>
          <w:rFonts w:ascii="Times New Roman" w:cs="Times New Roman" w:eastAsia="Times New Roman" w:hAnsi="Times New Roman"/>
          <w:sz w:val="20"/>
          <w:szCs w:val="20"/>
          <w:color w:val="auto"/>
        </w:rPr>
        <w:t>subject to Company and/or Committee consent and certain additional requirements set forth in the Option</w:t>
      </w:r>
    </w:p>
    <w:p>
      <w:pPr>
        <w:ind w:left="200"/>
        <w:spacing w:after="0"/>
        <w:rPr>
          <w:sz w:val="20"/>
          <w:szCs w:val="20"/>
          <w:color w:val="auto"/>
        </w:rPr>
      </w:pPr>
      <w:r>
        <w:rPr>
          <w:rFonts w:ascii="Times New Roman" w:cs="Times New Roman" w:eastAsia="Times New Roman" w:hAnsi="Times New Roman"/>
          <w:sz w:val="20"/>
          <w:szCs w:val="20"/>
          <w:color w:val="auto"/>
        </w:rPr>
        <w:t>Agreement and the Plan.</w:t>
      </w:r>
    </w:p>
    <w:p>
      <w:pPr>
        <w:ind w:left="200"/>
        <w:spacing w:after="0"/>
        <w:rPr>
          <w:sz w:val="20"/>
          <w:szCs w:val="20"/>
          <w:color w:val="auto"/>
        </w:rPr>
      </w:pPr>
      <w:r>
        <w:rPr>
          <w:rFonts w:ascii="Times New Roman" w:cs="Times New Roman" w:eastAsia="Times New Roman" w:hAnsi="Times New Roman"/>
          <w:sz w:val="20"/>
          <w:szCs w:val="20"/>
          <w:color w:val="auto"/>
        </w:rPr>
        <w:t> </w:t>
      </w:r>
    </w:p>
    <w:tbl>
      <w:tblPr>
        <w:tblLayout w:type="fixed"/>
        <w:tblInd w:w="860" w:type="dxa"/>
        <w:tblCellMar>
          <w:top w:w="0" w:type="dxa"/>
          <w:left w:w="0" w:type="dxa"/>
          <w:bottom w:w="0" w:type="dxa"/>
          <w:right w:w="0" w:type="dxa"/>
        </w:tblCellMar>
      </w:tblPr>
      <w:tr>
        <w:trPr>
          <w:trHeight w:val="24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Type of option:</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Nonstatutory</w:t>
            </w:r>
          </w:p>
        </w:tc>
      </w:tr>
      <w:tr>
        <w:trPr>
          <w:trHeight w:val="223"/>
        </w:trPr>
        <w:tc>
          <w:tcPr>
            <w:tcW w:w="528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Date of Grant: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as to which Option is exercised:</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Certificates to be issued in name of:</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Total exercise price:</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check, bank draft or money order delivered herewith:</w:t>
            </w:r>
          </w:p>
        </w:tc>
        <w:tc>
          <w:tcPr>
            <w:tcW w:w="1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Value of                  Shares delivered herewith:</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Regulation T Program (cashless exercise):</w:t>
            </w:r>
          </w:p>
        </w:tc>
        <w:tc>
          <w:tcPr>
            <w:tcW w:w="1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CEEFF"/>
          </w:tcPr>
          <w:p>
            <w:pPr>
              <w:spacing w:after="0"/>
              <w:rPr>
                <w:sz w:val="19"/>
                <w:szCs w:val="19"/>
                <w:color w:val="auto"/>
              </w:rPr>
            </w:pPr>
          </w:p>
        </w:tc>
      </w:tr>
      <w:tr>
        <w:trPr>
          <w:trHeight w:val="229"/>
        </w:trPr>
        <w:tc>
          <w:tcPr>
            <w:tcW w:w="52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Value of                  Shares pursuant to net exercise:</w:t>
            </w:r>
          </w:p>
        </w:tc>
        <w:tc>
          <w:tcPr>
            <w:tcW w:w="1140" w:type="dxa"/>
            <w:vAlign w:val="bottom"/>
            <w:gridSpan w:val="2"/>
          </w:tcPr>
          <w:p>
            <w:pPr>
              <w:ind w:left="8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r>
    </w:tbl>
    <w:p>
      <w:pPr>
        <w:ind w:left="200"/>
        <w:spacing w:after="0"/>
        <w:rPr>
          <w:sz w:val="20"/>
          <w:szCs w:val="20"/>
          <w:color w:val="auto"/>
        </w:rPr>
      </w:pPr>
      <w:r>
        <w:rPr>
          <w:rFonts w:ascii="Times New Roman" w:cs="Times New Roman" w:eastAsia="Times New Roman" w:hAnsi="Times New Roman"/>
          <w:sz w:val="20"/>
          <w:szCs w:val="20"/>
          <w:color w:val="auto"/>
        </w:rPr>
        <w:t> </w:t>
      </w:r>
    </w:p>
    <w:p>
      <w:pPr>
        <w:jc w:val="both"/>
        <w:ind w:left="200" w:right="219" w:firstLine="648"/>
        <w:spacing w:after="0"/>
        <w:rPr>
          <w:sz w:val="20"/>
          <w:szCs w:val="20"/>
          <w:color w:val="auto"/>
        </w:rPr>
      </w:pPr>
      <w:r>
        <w:rPr>
          <w:rFonts w:ascii="Times New Roman" w:cs="Times New Roman" w:eastAsia="Times New Roman" w:hAnsi="Times New Roman"/>
          <w:sz w:val="20"/>
          <w:szCs w:val="20"/>
          <w:color w:val="auto"/>
        </w:rPr>
        <w:t>By this exercise, I agree (i) to provide such additional documents as the Company may require pursuant to the terms of the Plan and (ii) to satisfy the tax withholding obligations, if any, relating to the exercise of this Option as set forth in the Option Agreement.  </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934720</wp:posOffset>
            </wp:positionV>
            <wp:extent cx="5452110"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291465</wp:posOffset>
            </wp:positionV>
            <wp:extent cx="27260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286" w:name="page287"/>
    <w:bookmarkEnd w:id="286"/>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w:t>
      </w:r>
      <w:r>
        <w:rPr>
          <w:rFonts w:ascii="Times New Roman" w:cs="Times New Roman" w:eastAsia="Times New Roman" w:hAnsi="Times New Roman"/>
          <w:sz w:val="17"/>
          <w:szCs w:val="17"/>
          <w:b w:val="1"/>
          <w:bCs w:val="1"/>
          <w:color w:val="auto"/>
        </w:rPr>
        <w:t>eta</w:t>
      </w:r>
      <w:r>
        <w:rPr>
          <w:rFonts w:ascii="Times New Roman" w:cs="Times New Roman" w:eastAsia="Times New Roman" w:hAnsi="Times New Roman"/>
          <w:sz w:val="25"/>
          <w:szCs w:val="25"/>
          <w:b w:val="1"/>
          <w:bCs w:val="1"/>
          <w:color w:val="auto"/>
        </w:rPr>
        <w:t>V</w:t>
      </w:r>
      <w:r>
        <w:rPr>
          <w:rFonts w:ascii="Times New Roman" w:cs="Times New Roman" w:eastAsia="Times New Roman" w:hAnsi="Times New Roman"/>
          <w:sz w:val="17"/>
          <w:szCs w:val="17"/>
          <w:b w:val="1"/>
          <w:bCs w:val="1"/>
          <w:color w:val="auto"/>
        </w:rPr>
        <w:t>ia</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Effective Date: May 7, 2024; as amended 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167640</wp:posOffset>
            </wp:positionV>
            <wp:extent cx="545211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M</w:t>
      </w:r>
      <w:r>
        <w:rPr>
          <w:rFonts w:ascii="Times New Roman" w:cs="Times New Roman" w:eastAsia="Times New Roman" w:hAnsi="Times New Roman"/>
          <w:sz w:val="14"/>
          <w:szCs w:val="14"/>
          <w:color w:val="auto"/>
        </w:rPr>
        <w:t>eta</w:t>
      </w:r>
      <w:r>
        <w:rPr>
          <w:rFonts w:ascii="Times New Roman" w:cs="Times New Roman" w:eastAsia="Times New Roman" w:hAnsi="Times New Roman"/>
          <w:sz w:val="22"/>
          <w:szCs w:val="22"/>
          <w:color w:val="auto"/>
        </w:rPr>
        <w:t>V</w:t>
      </w:r>
      <w:r>
        <w:rPr>
          <w:rFonts w:ascii="Times New Roman" w:cs="Times New Roman" w:eastAsia="Times New Roman" w:hAnsi="Times New Roman"/>
          <w:sz w:val="14"/>
          <w:szCs w:val="14"/>
          <w:color w:val="auto"/>
        </w:rPr>
        <w:t>ia</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who is not also serving as an employee of the Company or any of its subsidiaries (each such member, an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xml:space="preserve">) will receive the compensation described in this Amended and Restated Non-Employee Director Compensation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 Non-Employee Director may decline all or any portion of his or her compensation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giving notice to the Company prior to the date cash is to be paid or equity awards are to be granted, as the case may be. This Policy will be effective as of May 7,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xml:space="preserve">). This Policy may be amended at any time in the sole discretion of the Board, or by the Compensation Committee of the Board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xml:space="preserve">) at the recommendation of the Board. Unless otherwise defined herein, capitalized terms used in this Policy will have the meaning given to such terms in the Company’s 2022 Equity Incentive Plan, as amended, or if such plan is no longer in use, the meaning given to such terms or any similar terms in the primary successor to such plan (in either case,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left="200" w:right="219" w:firstLine="657"/>
        <w:spacing w:after="0" w:line="234" w:lineRule="auto"/>
        <w:tabs>
          <w:tab w:leader="none" w:pos="1496" w:val="left"/>
        </w:tabs>
        <w:numPr>
          <w:ilvl w:val="0"/>
          <w:numId w:val="3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ANNUAL CASH COMPENSATION. </w:t>
      </w:r>
      <w:r>
        <w:rPr>
          <w:rFonts w:ascii="Times New Roman" w:cs="Times New Roman" w:eastAsia="Times New Roman" w:hAnsi="Times New Roman"/>
          <w:sz w:val="22"/>
          <w:szCs w:val="22"/>
          <w:color w:val="auto"/>
        </w:rPr>
        <w:t>Commencing on the Effective Date,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Non-Employee Director will receive the cash compensation set forth below for service on the Board. The annual cash compensation amounts will be payable in equal quarterly installments, in arrears no later than 30 days following the end of each quarter in which the service occurred (each, a </w:t>
      </w:r>
      <w:r>
        <w:rPr>
          <w:rFonts w:ascii="Times New Roman" w:cs="Times New Roman" w:eastAsia="Times New Roman" w:hAnsi="Times New Roman"/>
          <w:sz w:val="22"/>
          <w:szCs w:val="22"/>
          <w:b w:val="1"/>
          <w:bCs w:val="1"/>
          <w:i w:val="1"/>
          <w:iCs w:val="1"/>
          <w:color w:val="auto"/>
        </w:rPr>
        <w:t>“Quarterly Date”</w:t>
      </w:r>
      <w:r>
        <w:rPr>
          <w:rFonts w:ascii="Times New Roman" w:cs="Times New Roman" w:eastAsia="Times New Roman" w:hAnsi="Times New Roman"/>
          <w:sz w:val="22"/>
          <w:szCs w:val="22"/>
          <w:color w:val="auto"/>
        </w:rPr>
        <w:t xml:space="preserve">). Each annual retainer set forth below will be pro-rated based on days served in the applicable fiscal year of the Company, with the pro-rated amount paid for the first fiscal quarter of the Company in which the Non-Employee Director provides the service, and regular full quarterly payments to be paid thereafter. All annual cash fees are vested upon payment. The schedule of annual retainers (the </w:t>
      </w:r>
      <w:r>
        <w:rPr>
          <w:rFonts w:ascii="Times New Roman" w:cs="Times New Roman" w:eastAsia="Times New Roman" w:hAnsi="Times New Roman"/>
          <w:sz w:val="22"/>
          <w:szCs w:val="22"/>
          <w:b w:val="1"/>
          <w:bCs w:val="1"/>
          <w:i w:val="1"/>
          <w:iCs w:val="1"/>
          <w:color w:val="auto"/>
        </w:rPr>
        <w:t>“Annual Retainers”</w:t>
      </w:r>
      <w:r>
        <w:rPr>
          <w:rFonts w:ascii="Times New Roman" w:cs="Times New Roman" w:eastAsia="Times New Roman" w:hAnsi="Times New Roman"/>
          <w:sz w:val="22"/>
          <w:szCs w:val="22"/>
          <w:color w:val="auto"/>
        </w:rPr>
        <w:t>) for the Non-Employee Directors is as follows:</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252"/>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Board Retainer</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tcBorders>
              <w:top w:val="single" w:sz="8" w:color="CCEEFF"/>
            </w:tcBorders>
            <w:shd w:val="clear" w:color="auto" w:fill="CCEEFF"/>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Non-Executive Chair of the Board (in addition to above Base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Retainer)</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Audit Committee</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 of Compensation Committee</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Nominating and Corporate Governance Committee</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Member of Audit Committee (non-Chair)</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Compensation Committee (non-Chair)</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 w:type="dxa"/>
            <w:vAlign w:val="bottom"/>
            <w:shd w:val="clear" w:color="auto" w:fill="CCEEFF"/>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Member of Nominating and Corporate Governance Committee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(non-Chair)</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20"/>
                <w:szCs w:val="20"/>
                <w:color w:val="auto"/>
              </w:rPr>
            </w:pPr>
          </w:p>
        </w:tc>
      </w:tr>
    </w:tbl>
    <w:p>
      <w:pPr>
        <w:spacing w:after="0" w:line="21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For the avoidance of doubt, the Annual Retainers in the table above are additive and a Non-Employee Director shall be eligible to earn an Annual Retainer for each position in which he or she serves. In addition, the Annual Retainers will be prorated for the first calendar quarter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7" w:name="page288"/>
    <w:bookmarkEnd w:id="287"/>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in which the Effective Date occurs, which proration will be based on the number of days of the calendar quarter remaining in such quarter after the Effective Date. The Board may adopt a program that allows Non-Employee Directors to defer Annual Retainers.</w:t>
      </w:r>
    </w:p>
    <w:p>
      <w:pPr>
        <w:spacing w:after="0" w:line="170" w:lineRule="exact"/>
        <w:rPr>
          <w:sz w:val="20"/>
          <w:szCs w:val="20"/>
          <w:color w:val="auto"/>
        </w:rPr>
      </w:pPr>
    </w:p>
    <w:p>
      <w:pPr>
        <w:ind w:left="200" w:right="219" w:firstLine="657"/>
        <w:spacing w:after="0" w:line="262" w:lineRule="auto"/>
        <w:tabs>
          <w:tab w:leader="none" w:pos="1496" w:val="left"/>
        </w:tabs>
        <w:numPr>
          <w:ilvl w:val="0"/>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COMPENSATION. </w:t>
      </w:r>
      <w:r>
        <w:rPr>
          <w:rFonts w:ascii="Times New Roman" w:cs="Times New Roman" w:eastAsia="Times New Roman" w:hAnsi="Times New Roman"/>
          <w:sz w:val="22"/>
          <w:szCs w:val="22"/>
          <w:color w:val="auto"/>
        </w:rPr>
        <w:t>The equity compensation set forth below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under the Plan and the applicable RSU Award Agreement.</w:t>
      </w:r>
    </w:p>
    <w:p>
      <w:pPr>
        <w:spacing w:after="0" w:line="154" w:lineRule="exact"/>
        <w:rPr>
          <w:rFonts w:ascii="Times New Roman" w:cs="Times New Roman" w:eastAsia="Times New Roman" w:hAnsi="Times New Roman"/>
          <w:sz w:val="22"/>
          <w:szCs w:val="22"/>
          <w:b w:val="1"/>
          <w:bCs w:val="1"/>
          <w:color w:val="auto"/>
        </w:rPr>
      </w:pPr>
    </w:p>
    <w:p>
      <w:pPr>
        <w:jc w:val="both"/>
        <w:ind w:left="200" w:right="219" w:firstLine="1305"/>
        <w:spacing w:after="0" w:line="242" w:lineRule="auto"/>
        <w:tabs>
          <w:tab w:leader="none" w:pos="2144" w:val="left"/>
        </w:tabs>
        <w:numPr>
          <w:ilvl w:val="1"/>
          <w:numId w:val="3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utomatic</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nitial</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each Non-Employee Director who is first elected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appointed to the Board on or following the Effective Date, at the close of business on the date of such Non-Employee Director’s initial election or appointment to the Board, such Non-Employee Director will be automatically, and without further action by the Board or the Compensation Committee, granted a restricted stock unit award (an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xml:space="preserve">) covering a number of restricted stock units equal to (a) $40,000 divided by (b) the average Fair Market Value of a share of the Company’s common stock (the </w:t>
      </w:r>
      <w:r>
        <w:rPr>
          <w:rFonts w:ascii="Times New Roman" w:cs="Times New Roman" w:eastAsia="Times New Roman" w:hAnsi="Times New Roman"/>
          <w:sz w:val="20"/>
          <w:szCs w:val="20"/>
          <w:b w:val="1"/>
          <w:bCs w:val="1"/>
          <w:i w:val="1"/>
          <w:iCs w:val="1"/>
          <w:color w:val="auto"/>
        </w:rPr>
        <w:t>“Common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for the 30 consecutive market trading days ending on and including the last market trading day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prior to the grant date of such RSU Award, rounded down to the nearest whole unit (each, an </w:t>
      </w:r>
      <w:r>
        <w:rPr>
          <w:rFonts w:ascii="Times New Roman" w:cs="Times New Roman" w:eastAsia="Times New Roman" w:hAnsi="Times New Roman"/>
          <w:sz w:val="20"/>
          <w:szCs w:val="20"/>
          <w:b w:val="1"/>
          <w:bCs w:val="1"/>
          <w:i w:val="1"/>
          <w:iCs w:val="1"/>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50% of each Initial Grant will be vested as of the date of grant and the remainder will vest in two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equal installments on each subsequent anniversary of the date of grant, subject to the Non-Employee Director’s Continuous Service on each vesting date.</w:t>
      </w:r>
    </w:p>
    <w:p>
      <w:pPr>
        <w:spacing w:after="0" w:line="198"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1"/>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utomatic</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rorated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953"/>
        <w:spacing w:after="0" w:line="234" w:lineRule="auto"/>
        <w:tabs>
          <w:tab w:leader="none" w:pos="2792" w:val="left"/>
        </w:tabs>
        <w:numPr>
          <w:ilvl w:val="2"/>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At the close of business after the first Annual Meeting following the Effective Date and on the date of each subsequent annual meeting of the Company’s stockholders held following the initial Annual Meeting (each, an </w:t>
      </w:r>
      <w:r>
        <w:rPr>
          <w:rFonts w:ascii="Times New Roman" w:cs="Times New Roman" w:eastAsia="Times New Roman" w:hAnsi="Times New Roman"/>
          <w:sz w:val="22"/>
          <w:szCs w:val="22"/>
          <w:b w:val="1"/>
          <w:bCs w:val="1"/>
          <w:i w:val="1"/>
          <w:iCs w:val="1"/>
          <w:color w:val="auto"/>
        </w:rPr>
        <w:t>“Annual Meeting”</w:t>
      </w:r>
      <w:r>
        <w:rPr>
          <w:rFonts w:ascii="Times New Roman" w:cs="Times New Roman" w:eastAsia="Times New Roman" w:hAnsi="Times New Roman"/>
          <w:sz w:val="22"/>
          <w:szCs w:val="22"/>
          <w:color w:val="auto"/>
        </w:rPr>
        <w:t xml:space="preserve">), each person who is then a Non-Employee Director will be automatically, and without further action by the Board or the Compensation Committee, granted an RSU Award covering a number of restricted stock units equal to (i) $20,000 divided by (ii) the average Fair Market Value of a share of Common Stock for the 30 consecutive market trading days ending on and including the last market trading day prior to the grant date of such RSU Award, rounded down to the nearest whole unit (each, an </w:t>
      </w:r>
      <w:r>
        <w:rPr>
          <w:rFonts w:ascii="Times New Roman" w:cs="Times New Roman" w:eastAsia="Times New Roman" w:hAnsi="Times New Roman"/>
          <w:sz w:val="22"/>
          <w:szCs w:val="22"/>
          <w:b w:val="1"/>
          <w:bCs w:val="1"/>
          <w:i w:val="1"/>
          <w:i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Grant”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953"/>
        <w:spacing w:after="0" w:line="245" w:lineRule="auto"/>
        <w:tabs>
          <w:tab w:leader="none" w:pos="2792" w:val="left"/>
        </w:tabs>
        <w:numPr>
          <w:ilvl w:val="2"/>
          <w:numId w:val="3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addition, for each Non-Employee Director who is first elected or appointed to the Board after the first Annual Meeting of the Company’s stockholders following the Effective Date on a date other than the date of an Annual Meeting of the Company’s stockholders, at the close of business on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following such Non-Employee Director’s initial election or appointment to the Board, such Non-Employee Director will be automatically, and without further action by the Board or the Compensation Committee, granted an RSU Award covering a number of restricted stock units equal to (i) $20,000 divided by (ii) the average Fair Market Value of a share of Common Stock for the 30 consecutive market trading days ending on and including the last market trading day prior to the grant date of such RSU Award, multiplied by a fraction, the numerator of which equals 365 minus the total number of days, as of the grant date of such RSU Award, that have occurred since the last Annual Meeting and the denominator of which equals 365, rounded down to the nearest whole unit (each, a </w:t>
      </w:r>
      <w:r>
        <w:rPr>
          <w:rFonts w:ascii="Times New Roman" w:cs="Times New Roman" w:eastAsia="Times New Roman" w:hAnsi="Times New Roman"/>
          <w:sz w:val="21"/>
          <w:szCs w:val="21"/>
          <w:b w:val="1"/>
          <w:bCs w:val="1"/>
          <w:i w:val="1"/>
          <w:iCs w:val="1"/>
          <w:color w:val="auto"/>
        </w:rPr>
        <w:t>“Prorated Annual Grant”</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b w:val="1"/>
          <w:bCs w:val="1"/>
          <w:color w:val="auto"/>
        </w:rPr>
      </w:pPr>
    </w:p>
    <w:p>
      <w:pPr>
        <w:jc w:val="both"/>
        <w:ind w:left="200" w:right="219" w:firstLine="1953"/>
        <w:spacing w:after="0" w:line="244" w:lineRule="auto"/>
        <w:tabs>
          <w:tab w:leader="none" w:pos="2792" w:val="left"/>
        </w:tabs>
        <w:numPr>
          <w:ilvl w:val="2"/>
          <w:numId w:val="3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Annual Grant and Prorated Annual Grant will vest in full on the earlier of (i) the one-year anniversary of the grant date of the Annual Grant or Prorated Annual Grant, as applicable, and (ii) the date immediately prior to the date of the Annual</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88" w:name="page289"/>
    <w:bookmarkEnd w:id="288"/>
    <w:p>
      <w:pPr>
        <w:ind w:left="200" w:right="219"/>
        <w:spacing w:after="0" w:line="258" w:lineRule="auto"/>
        <w:rPr>
          <w:sz w:val="20"/>
          <w:szCs w:val="20"/>
          <w:color w:val="auto"/>
        </w:rPr>
      </w:pPr>
      <w:r>
        <w:rPr>
          <w:rFonts w:ascii="Times New Roman" w:cs="Times New Roman" w:eastAsia="Times New Roman" w:hAnsi="Times New Roman"/>
          <w:sz w:val="22"/>
          <w:szCs w:val="22"/>
          <w:color w:val="auto"/>
        </w:rPr>
        <w:t>Meeting following the grant date of such Annual Grant or Prorated Annual Grant, as applicable, subject to the Non-Employee Director’s Continuous Service on the vesting date.</w:t>
      </w:r>
    </w:p>
    <w:p>
      <w:pPr>
        <w:spacing w:after="0" w:line="155" w:lineRule="exact"/>
        <w:rPr>
          <w:sz w:val="20"/>
          <w:szCs w:val="20"/>
          <w:color w:val="auto"/>
        </w:rPr>
      </w:pPr>
    </w:p>
    <w:p>
      <w:pPr>
        <w:ind w:left="2160" w:hanging="655"/>
        <w:spacing w:after="0"/>
        <w:tabs>
          <w:tab w:leader="none" w:pos="2160" w:val="left"/>
        </w:tabs>
        <w:numPr>
          <w:ilvl w:val="0"/>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lections to</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eceive an</w:t>
      </w:r>
      <w:r>
        <w:rPr>
          <w:rFonts w:ascii="Times New Roman" w:cs="Times New Roman" w:eastAsia="Times New Roman" w:hAnsi="Times New Roman"/>
          <w:sz w:val="22"/>
          <w:szCs w:val="22"/>
          <w:b w:val="1"/>
          <w:bCs w:val="1"/>
          <w:color w:val="auto"/>
        </w:rPr>
        <w:t xml:space="preserve"> RSU A</w:t>
      </w:r>
      <w:r>
        <w:rPr>
          <w:rFonts w:ascii="Times New Roman" w:cs="Times New Roman" w:eastAsia="Times New Roman" w:hAnsi="Times New Roman"/>
          <w:sz w:val="14"/>
          <w:szCs w:val="14"/>
          <w:b w:val="1"/>
          <w:bCs w:val="1"/>
          <w:color w:val="auto"/>
        </w:rPr>
        <w:t>ward in</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ieu of</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etainers</w:t>
      </w:r>
      <w:r>
        <w:rPr>
          <w:rFonts w:ascii="Times New Roman" w:cs="Times New Roman" w:eastAsia="Times New Roman" w:hAnsi="Times New Roman"/>
          <w:sz w:val="22"/>
          <w:szCs w:val="22"/>
          <w:b w:val="1"/>
          <w:bCs w:val="1"/>
          <w:color w:val="auto"/>
        </w:rPr>
        <w:t>.</w:t>
      </w:r>
    </w:p>
    <w:p>
      <w:pPr>
        <w:spacing w:after="0" w:line="204" w:lineRule="exact"/>
        <w:rPr>
          <w:rFonts w:ascii="Times New Roman" w:cs="Times New Roman" w:eastAsia="Times New Roman" w:hAnsi="Times New Roman"/>
          <w:sz w:val="22"/>
          <w:szCs w:val="22"/>
          <w:b w:val="1"/>
          <w:bCs w:val="1"/>
          <w:color w:val="auto"/>
        </w:rPr>
      </w:pPr>
    </w:p>
    <w:p>
      <w:pPr>
        <w:jc w:val="both"/>
        <w:ind w:left="200" w:right="219" w:firstLine="1953"/>
        <w:spacing w:after="0" w:line="243" w:lineRule="auto"/>
        <w:tabs>
          <w:tab w:leader="none" w:pos="2792" w:val="left"/>
        </w:tabs>
        <w:numPr>
          <w:ilvl w:val="1"/>
          <w:numId w:val="3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Retainer Grant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the fiscal year of the Company in which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Effective Date occurs and each fiscal year of the Company thereafter, each Non-Employee Director may elect (such election, a </w:t>
      </w:r>
      <w:r>
        <w:rPr>
          <w:rFonts w:ascii="Times New Roman" w:cs="Times New Roman" w:eastAsia="Times New Roman" w:hAnsi="Times New Roman"/>
          <w:sz w:val="21"/>
          <w:szCs w:val="21"/>
          <w:b w:val="1"/>
          <w:bCs w:val="1"/>
          <w:i w:val="1"/>
          <w:iCs w:val="1"/>
          <w:color w:val="auto"/>
        </w:rPr>
        <w:t>“Retainer Grant Election”</w:t>
      </w:r>
      <w:r>
        <w:rPr>
          <w:rFonts w:ascii="Times New Roman" w:cs="Times New Roman" w:eastAsia="Times New Roman" w:hAnsi="Times New Roman"/>
          <w:sz w:val="21"/>
          <w:szCs w:val="21"/>
          <w:color w:val="auto"/>
        </w:rPr>
        <w:t xml:space="preserve">) to forego receiving payment of all (but not less than all) of the compensation such Non-Employee Director is otherwise eligible to receive in cash under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of this Policy for the period during the fiscal year of the Company to which the Retainer Grant Election applies commencing on the Retainer Grant Measurement Date and ending on the last day of the fiscal year of the Company to which the Retainer Grant Election applies (each such period, a </w:t>
      </w:r>
      <w:r>
        <w:rPr>
          <w:rFonts w:ascii="Times New Roman" w:cs="Times New Roman" w:eastAsia="Times New Roman" w:hAnsi="Times New Roman"/>
          <w:sz w:val="21"/>
          <w:szCs w:val="21"/>
          <w:b w:val="1"/>
          <w:bCs w:val="1"/>
          <w:i w:val="1"/>
          <w:iCs w:val="1"/>
          <w:color w:val="auto"/>
        </w:rPr>
        <w:t>“Retainer Grant Measurement Period”</w:t>
      </w:r>
      <w:r>
        <w:rPr>
          <w:rFonts w:ascii="Times New Roman" w:cs="Times New Roman" w:eastAsia="Times New Roman" w:hAnsi="Times New Roman"/>
          <w:sz w:val="21"/>
          <w:szCs w:val="21"/>
          <w:color w:val="auto"/>
        </w:rPr>
        <w:t xml:space="preserve">) and receive an RSU Award instead (each, a </w:t>
      </w:r>
      <w:r>
        <w:rPr>
          <w:rFonts w:ascii="Times New Roman" w:cs="Times New Roman" w:eastAsia="Times New Roman" w:hAnsi="Times New Roman"/>
          <w:sz w:val="21"/>
          <w:szCs w:val="21"/>
          <w:b w:val="1"/>
          <w:bCs w:val="1"/>
          <w:i w:val="1"/>
          <w:iCs w:val="1"/>
          <w:color w:val="auto"/>
        </w:rPr>
        <w:t>“Retainer Grant”</w:t>
      </w:r>
      <w:r>
        <w:rPr>
          <w:rFonts w:ascii="Times New Roman" w:cs="Times New Roman" w:eastAsia="Times New Roman" w:hAnsi="Times New Roman"/>
          <w:sz w:val="21"/>
          <w:szCs w:val="21"/>
          <w:color w:val="auto"/>
        </w:rPr>
        <w:t xml:space="preserve">) but only if the Retainer Grant Election is timely made in accordance with the requirements of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If a Non-Employee Director timely makes a Retainer Grant Election pursuant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below, on the Retainer Grant Measurement Date (as defined below), such Non-Employee Director will be automatically, and without any further action by the Board or the Compensation Committee, granted a Retainer Grant covering a number of restricted stock units equal to (i) the aggregate amount of cash compensation under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of this Policy that such Non-Employee Director is eligible to receive for the applicable Retainer Grant Measurement Period divided by (ii) the average Fair Market Value of a share of Common Stock for the 30 consecutive market trading days ending on and including the last trading day prior to the grant date of such Retainer Grant, rounded down to the nearest whole unit. For purposes of this Policy, </w:t>
      </w:r>
      <w:r>
        <w:rPr>
          <w:rFonts w:ascii="Times New Roman" w:cs="Times New Roman" w:eastAsia="Times New Roman" w:hAnsi="Times New Roman"/>
          <w:sz w:val="21"/>
          <w:szCs w:val="21"/>
          <w:b w:val="1"/>
          <w:bCs w:val="1"/>
          <w:i w:val="1"/>
          <w:iCs w:val="1"/>
          <w:color w:val="auto"/>
        </w:rPr>
        <w:t>“Retainer Grant Measurement Date”</w:t>
      </w:r>
      <w:r>
        <w:rPr>
          <w:rFonts w:ascii="Times New Roman" w:cs="Times New Roman" w:eastAsia="Times New Roman" w:hAnsi="Times New Roman"/>
          <w:sz w:val="21"/>
          <w:szCs w:val="21"/>
          <w:color w:val="auto"/>
        </w:rPr>
        <w:t xml:space="preserve"> means the first day of the fiscal year of the Company to which the Retainer Grant Election applies, provided that if the Retainer Grant Election is made in the same fiscal year of the Company to which it applies, then the Retainer Grant Measurement Date means the first day of the fiscal quarter of the Company following the fiscal quarter of the Company in which the Retainer Grant Election is made. Each Retainer Grant will vest as to the Retainer Grant Vesting Percentage on each Quarterly Date following the grant date of the Retainer Grant, subject to such Non-Employee Director’s Continuous Service through each vesting date. The </w:t>
      </w:r>
      <w:r>
        <w:rPr>
          <w:rFonts w:ascii="Times New Roman" w:cs="Times New Roman" w:eastAsia="Times New Roman" w:hAnsi="Times New Roman"/>
          <w:sz w:val="21"/>
          <w:szCs w:val="21"/>
          <w:b w:val="1"/>
          <w:bCs w:val="1"/>
          <w:i w:val="1"/>
          <w:iCs w:val="1"/>
          <w:color w:val="auto"/>
        </w:rPr>
        <w:t>“Retainer Grant Vesting Percentage”</w:t>
      </w:r>
      <w:r>
        <w:rPr>
          <w:rFonts w:ascii="Times New Roman" w:cs="Times New Roman" w:eastAsia="Times New Roman" w:hAnsi="Times New Roman"/>
          <w:sz w:val="21"/>
          <w:szCs w:val="21"/>
          <w:color w:val="auto"/>
        </w:rPr>
        <w:t xml:space="preserve"> equals (y) 100% multiplied by (z) a fraction, the numerator of which equals one and the denominator of which equals the number of Quarterly Dates occurring during the period commencing on the grant date of the applicable Retainer Grant and ending on the last day of the fiscal year of the Company in which such Retainer Grant was granted.</w:t>
      </w:r>
    </w:p>
    <w:p>
      <w:pPr>
        <w:spacing w:after="0" w:line="200" w:lineRule="exact"/>
        <w:rPr>
          <w:rFonts w:ascii="Times New Roman" w:cs="Times New Roman" w:eastAsia="Times New Roman" w:hAnsi="Times New Roman"/>
          <w:sz w:val="21"/>
          <w:szCs w:val="21"/>
          <w:b w:val="1"/>
          <w:bCs w:val="1"/>
          <w:color w:val="auto"/>
        </w:rPr>
      </w:pPr>
    </w:p>
    <w:p>
      <w:pPr>
        <w:spacing w:after="0" w:line="215" w:lineRule="exact"/>
        <w:rPr>
          <w:rFonts w:ascii="Times New Roman" w:cs="Times New Roman" w:eastAsia="Times New Roman" w:hAnsi="Times New Roman"/>
          <w:sz w:val="21"/>
          <w:szCs w:val="21"/>
          <w:b w:val="1"/>
          <w:bCs w:val="1"/>
          <w:color w:val="auto"/>
        </w:rPr>
      </w:pPr>
    </w:p>
    <w:p>
      <w:pPr>
        <w:jc w:val="both"/>
        <w:ind w:left="200" w:right="219" w:firstLine="1953"/>
        <w:spacing w:after="0" w:line="235" w:lineRule="auto"/>
        <w:tabs>
          <w:tab w:leader="none" w:pos="2792" w:val="left"/>
        </w:tabs>
        <w:numPr>
          <w:ilvl w:val="1"/>
          <w:numId w:val="3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Election Mechanics. </w:t>
      </w:r>
      <w:r>
        <w:rPr>
          <w:rFonts w:ascii="Times New Roman" w:cs="Times New Roman" w:eastAsia="Times New Roman" w:hAnsi="Times New Roman"/>
          <w:sz w:val="22"/>
          <w:szCs w:val="22"/>
          <w:color w:val="auto"/>
        </w:rPr>
        <w:t>For any Retainer Grant Election to be effective,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it must be submitted to the Chief Financial Officer of the Company with a copy to the Company’s counsel (or such other individual(s) as the Company designates) (i) on or prior to the last day of the calendar year immediately preceding the first calendar year in which the Retention Grant Election will be effective, or (ii) within 30 days after the Non-Employee Director first becomes eligible to participate in this Policy. A Non-Employee Director may only make a Retainer Grant Election during a period in which the Company is not in a quarterly or special blackout period and the Non-Employee Director is not aware of any material non-public information. In addition, a Non-Employee Director may not make a Retainer Grant Election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89" w:name="page290"/>
    <w:bookmarkEnd w:id="289"/>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 xml:space="preserve">applies to the fiscal year in which he or she first becomes eligible to participate in this Policy after the third Quarterly Date in such fiscal year. Any Retainer Grant Election will be irrevocable, and will be subject to such rules, conditions and procedures as shall be determined by the Board or the Compensation Committee, in its sole discretion, which rules, conditions and procedures shall at all times comply with the requirements of Code Section 409A. Retainer Grant Elections shall be made pursuant to a form of election in substantially the form attached hereto as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14"/>
          <w:szCs w:val="14"/>
          <w:u w:val="single" w:color="auto"/>
          <w:color w:val="auto"/>
        </w:rPr>
        <w:t>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or such other form as approved by the Board or the Compensation Committee. A Non-Employee Director who fails to make a timely Retainer Grant Election will not receive a Retainer Grant and instead will receive the cash compensation under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of this Policy.</w:t>
      </w:r>
    </w:p>
    <w:p>
      <w:pPr>
        <w:spacing w:after="0" w:line="180" w:lineRule="exact"/>
        <w:rPr>
          <w:sz w:val="20"/>
          <w:szCs w:val="20"/>
          <w:color w:val="auto"/>
        </w:rPr>
      </w:pPr>
    </w:p>
    <w:p>
      <w:pPr>
        <w:jc w:val="both"/>
        <w:ind w:left="200" w:right="219" w:firstLine="657"/>
        <w:spacing w:after="0" w:line="241" w:lineRule="auto"/>
        <w:tabs>
          <w:tab w:leader="none" w:pos="1496" w:val="left"/>
        </w:tabs>
        <w:numPr>
          <w:ilvl w:val="0"/>
          <w:numId w:val="3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NON-EMPLOYEE DIRECTOR COMPENSATION LIMIT. </w:t>
      </w:r>
      <w:r>
        <w:rPr>
          <w:rFonts w:ascii="Times New Roman" w:cs="Times New Roman" w:eastAsia="Times New Roman" w:hAnsi="Times New Roman"/>
          <w:sz w:val="22"/>
          <w:szCs w:val="22"/>
          <w:color w:val="auto"/>
        </w:rPr>
        <w:t>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herein to the contrary, the cash compensation and equity compensation that each Non-Employee Director is entitled to receive under this Policy shall be subject to the limits set forth in Section 3(d) of the Plan.</w:t>
      </w:r>
    </w:p>
    <w:p>
      <w:pPr>
        <w:spacing w:after="0" w:line="17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IV. CHANGE IN CONTROL; DEATH; DISABILITY. </w:t>
      </w:r>
      <w:r>
        <w:rPr>
          <w:rFonts w:ascii="Times New Roman" w:cs="Times New Roman" w:eastAsia="Times New Roman" w:hAnsi="Times New Roman"/>
          <w:sz w:val="22"/>
          <w:szCs w:val="22"/>
          <w:color w:val="auto"/>
        </w:rPr>
        <w:t>Each RSU Award held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Non-Employee Director that is granted under this Policy will vest in full upon such Non-Employee Director’s death or Disability, or immediately prior to the consummation of a Change in Control, in each case, to extent such RSU Award is outstanding as of immediately prior to the occurrence of such event.</w:t>
      </w:r>
    </w:p>
    <w:p>
      <w:pPr>
        <w:spacing w:after="0" w:line="177" w:lineRule="exact"/>
        <w:rPr>
          <w:sz w:val="20"/>
          <w:szCs w:val="20"/>
          <w:color w:val="auto"/>
        </w:rPr>
      </w:pPr>
    </w:p>
    <w:p>
      <w:pPr>
        <w:jc w:val="both"/>
        <w:ind w:left="200" w:right="219" w:firstLine="657"/>
        <w:spacing w:after="0" w:line="233" w:lineRule="auto"/>
        <w:tabs>
          <w:tab w:leader="none" w:pos="1496" w:val="left"/>
        </w:tabs>
        <w:numPr>
          <w:ilvl w:val="0"/>
          <w:numId w:val="3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DEFERRAL OF RSU AWARDS. </w:t>
      </w:r>
      <w:r>
        <w:rPr>
          <w:rFonts w:ascii="Times New Roman" w:cs="Times New Roman" w:eastAsia="Times New Roman" w:hAnsi="Times New Roman"/>
          <w:sz w:val="22"/>
          <w:szCs w:val="22"/>
          <w:color w:val="auto"/>
        </w:rPr>
        <w:t>Each Non-Employee Director may elect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defer the delivery of shares in settlement of any RSU Award granted pursuant to this Policy that would otherwise be delivered to such Non-Employee Director on or following the date such RSU Award vests pursuant to the terms of this Policy (the </w:t>
      </w:r>
      <w:r>
        <w:rPr>
          <w:rFonts w:ascii="Times New Roman" w:cs="Times New Roman" w:eastAsia="Times New Roman" w:hAnsi="Times New Roman"/>
          <w:sz w:val="22"/>
          <w:szCs w:val="22"/>
          <w:b w:val="1"/>
          <w:bCs w:val="1"/>
          <w:i w:val="1"/>
          <w:iCs w:val="1"/>
          <w:color w:val="auto"/>
        </w:rPr>
        <w:t>“Deferral Election”</w:t>
      </w:r>
      <w:r>
        <w:rPr>
          <w:rFonts w:ascii="Times New Roman" w:cs="Times New Roman" w:eastAsia="Times New Roman" w:hAnsi="Times New Roman"/>
          <w:sz w:val="22"/>
          <w:szCs w:val="22"/>
          <w:color w:val="auto"/>
        </w:rPr>
        <w:t xml:space="preserve">). For any such Deferral Election to be effective, it must be submitted to the Chief Financial Officer of the Company with a copy to the Company’s counsel (or such other individual(s) as the Company designates) (1) for 2024, within 30 days following the Effective Date, (2) on or prior to the last day of the calendar year immediately prior to the calendar year in which the RSU Award to which the Deferral Election relates is granted or (3) within 30 days of such Non-Employee Director’s initial election or appointment to the Board.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unless otherwise specifically determined by the Board or the Compensation Committee. Deferral Elections shall be made pursuant to a form of deferral election in substantially the form attached hereto as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14"/>
          <w:szCs w:val="14"/>
          <w:u w:val="single" w:color="auto"/>
          <w:color w:val="auto"/>
        </w:rPr>
        <w:t>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or such other form as approved by the Board or the Compensation Committee.</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VI. EXPENSES. </w:t>
      </w:r>
      <w:r>
        <w:rPr>
          <w:rFonts w:ascii="Times New Roman" w:cs="Times New Roman" w:eastAsia="Times New Roman" w:hAnsi="Times New Roman"/>
          <w:sz w:val="22"/>
          <w:szCs w:val="22"/>
          <w:color w:val="auto"/>
        </w:rPr>
        <w:t>The Company will reimburse Non-Employee Directors for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necessary and reasonable out-of-pocket travel expenses to cover in-person attendance at and participation in Board and committee meetings;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Non-Employee Director timely submits to the Company appropriate documentation substantiating such expenses in accordance with the Company’s travel and expense policy, as in effect from time to time.</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Approved by the Board of Directors: May 7, 2024; November 29, 2024</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90" w:name="page291"/>
    <w:bookmarkEnd w:id="290"/>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xhibit</w:t>
      </w:r>
      <w:r>
        <w:rPr>
          <w:rFonts w:ascii="Times New Roman" w:cs="Times New Roman" w:eastAsia="Times New Roman" w:hAnsi="Times New Roman"/>
          <w:sz w:val="22"/>
          <w:szCs w:val="22"/>
          <w:b w:val="1"/>
          <w:bCs w:val="1"/>
          <w:u w:val="single" w:color="auto"/>
          <w:color w:val="auto"/>
        </w:rPr>
        <w:t xml:space="preserve"> A</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METAVIA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 Deferral and Retainer Grant Election Form</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For Non-Employee Directors</w:t>
      </w:r>
    </w:p>
    <w:p>
      <w:pPr>
        <w:spacing w:after="0" w:line="20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Please complete and return this Restricted Stock Unit Deferral and Retainer Grant Election Form (the </w:t>
      </w:r>
      <w:r>
        <w:rPr>
          <w:rFonts w:ascii="Times New Roman" w:cs="Times New Roman" w:eastAsia="Times New Roman" w:hAnsi="Times New Roman"/>
          <w:sz w:val="22"/>
          <w:szCs w:val="22"/>
          <w:b w:val="1"/>
          <w:bCs w:val="1"/>
          <w:i w:val="1"/>
          <w:iCs w:val="1"/>
          <w:color w:val="auto"/>
        </w:rPr>
        <w:t>“Election Form”</w:t>
      </w:r>
      <w:r>
        <w:rPr>
          <w:rFonts w:ascii="Times New Roman" w:cs="Times New Roman" w:eastAsia="Times New Roman" w:hAnsi="Times New Roman"/>
          <w:sz w:val="22"/>
          <w:szCs w:val="22"/>
          <w:color w:val="auto"/>
        </w:rPr>
        <w:t xml:space="preserve">), as described below, </w:t>
      </w:r>
      <w:r>
        <w:rPr>
          <w:rFonts w:ascii="Times New Roman" w:cs="Times New Roman" w:eastAsia="Times New Roman" w:hAnsi="Times New Roman"/>
          <w:sz w:val="22"/>
          <w:szCs w:val="22"/>
          <w:b w:val="1"/>
          <w:bCs w:val="1"/>
          <w:color w:val="auto"/>
        </w:rPr>
        <w:t>[for existing non-employee directors making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elections for 2024: </w:t>
      </w:r>
      <w:r>
        <w:rPr>
          <w:rFonts w:ascii="Times New Roman" w:cs="Times New Roman" w:eastAsia="Times New Roman" w:hAnsi="Times New Roman"/>
          <w:sz w:val="22"/>
          <w:szCs w:val="22"/>
          <w:color w:val="auto"/>
        </w:rPr>
        <w:t>within 30 days after the Effective Date of the Policy][</w:t>
      </w:r>
      <w:r>
        <w:rPr>
          <w:rFonts w:ascii="Times New Roman" w:cs="Times New Roman" w:eastAsia="Times New Roman" w:hAnsi="Times New Roman"/>
          <w:sz w:val="22"/>
          <w:szCs w:val="22"/>
          <w:b w:val="1"/>
          <w:bCs w:val="1"/>
          <w:color w:val="auto"/>
        </w:rPr>
        <w:t xml:space="preserve">for existing non-employee directors making elections for 2025 or any year thereafter: </w:t>
      </w:r>
      <w:r>
        <w:rPr>
          <w:rFonts w:ascii="Times New Roman" w:cs="Times New Roman" w:eastAsia="Times New Roman" w:hAnsi="Times New Roman"/>
          <w:sz w:val="22"/>
          <w:szCs w:val="22"/>
          <w:color w:val="auto"/>
        </w:rPr>
        <w:t>on or before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of each year</w:t>
      </w:r>
      <w:r>
        <w:rPr>
          <w:rFonts w:ascii="Times New Roman" w:cs="Times New Roman" w:eastAsia="Times New Roman" w:hAnsi="Times New Roman"/>
          <w:sz w:val="22"/>
          <w:szCs w:val="22"/>
          <w:b w:val="1"/>
          <w:bCs w:val="1"/>
          <w:color w:val="auto"/>
        </w:rPr>
        <w:t>] [for new non-employee directors:</w:t>
      </w:r>
      <w:r>
        <w:rPr>
          <w:rFonts w:ascii="Times New Roman" w:cs="Times New Roman" w:eastAsia="Times New Roman" w:hAnsi="Times New Roman"/>
          <w:sz w:val="22"/>
          <w:szCs w:val="22"/>
          <w:color w:val="auto"/>
        </w:rPr>
        <w:t xml:space="preserve"> within 30 days following the date you join the Board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“Submission Deadline”</w:t>
      </w:r>
      <w:r>
        <w:rPr>
          <w:rFonts w:ascii="Times New Roman" w:cs="Times New Roman" w:eastAsia="Times New Roman" w:hAnsi="Times New Roman"/>
          <w:sz w:val="22"/>
          <w:szCs w:val="22"/>
          <w:color w:val="auto"/>
        </w:rPr>
        <w:t>), to the Chief Financial Officer of the Company, with a copy to the Company’s counsel, MetaVia Inc., 545 Concord Avenue, Suite 210, Cambridge, Massachusetts 02138.</w:t>
      </w:r>
    </w:p>
    <w:p>
      <w:pPr>
        <w:spacing w:after="0" w:line="178"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Neither the provision of this Election Form nor your completion of this Election Form represents a commitment by the Company to grant an Award to you. The grant of an Award remains subject to the terms of the Company’s Amended and Restated Non-Employee Director Compensation Policy as may be hereinafter amended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Terms not otherwise defined herein shall have the meaning set forth in the Policy or the Plan, as applicable.</w:t>
      </w:r>
    </w:p>
    <w:p>
      <w:pPr>
        <w:spacing w:after="0" w:line="20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 understand that my Election Form will become irrevocable effective as of the Submission Deadline.</w:t>
      </w:r>
    </w:p>
    <w:p>
      <w:pPr>
        <w:spacing w:after="0" w:line="177" w:lineRule="exact"/>
        <w:rPr>
          <w:sz w:val="20"/>
          <w:szCs w:val="20"/>
          <w:color w:val="auto"/>
        </w:rPr>
      </w:pPr>
    </w:p>
    <w:p>
      <w:pPr>
        <w:ind w:left="1500" w:hanging="643"/>
        <w:spacing w:after="0"/>
        <w:tabs>
          <w:tab w:leader="none" w:pos="1500" w:val="left"/>
        </w:tabs>
        <w:numPr>
          <w:ilvl w:val="0"/>
          <w:numId w:val="3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ersonal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Please print</w:t>
      </w: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-22860</wp:posOffset>
            </wp:positionV>
            <wp:extent cx="20554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2055495" cy="8890"/>
                    </a:xfrm>
                    <a:prstGeom prst="rect">
                      <a:avLst/>
                    </a:prstGeom>
                    <a:noFill/>
                  </pic:spPr>
                </pic:pic>
              </a:graphicData>
            </a:graphic>
          </wp:anchor>
        </w:drawing>
      </w:r>
    </w:p>
    <w:p>
      <w:pPr>
        <w:ind w:left="2800"/>
        <w:spacing w:after="0"/>
        <w:rPr>
          <w:sz w:val="20"/>
          <w:szCs w:val="20"/>
          <w:color w:val="auto"/>
        </w:rPr>
      </w:pPr>
      <w:r>
        <w:rPr>
          <w:rFonts w:ascii="Times New Roman" w:cs="Times New Roman" w:eastAsia="Times New Roman" w:hAnsi="Times New Roman"/>
          <w:sz w:val="22"/>
          <w:szCs w:val="22"/>
          <w:color w:val="auto"/>
        </w:rPr>
        <w:t xml:space="preserve">Participant Name: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200" w:right="219" w:firstLine="657"/>
        <w:spacing w:after="0" w:line="241" w:lineRule="auto"/>
        <w:tabs>
          <w:tab w:leader="none" w:pos="1496" w:val="left"/>
        </w:tabs>
        <w:numPr>
          <w:ilvl w:val="0"/>
          <w:numId w:val="3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etainer</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lection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signing below, I elect to forego receiving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all (but not less than all) of the compensation I am otherwise eligible to receive in cash under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of the Policy for the period during the fiscal year of the Company ended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-26035</wp:posOffset>
            </wp:positionV>
            <wp:extent cx="6000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860"/>
        <w:spacing w:after="0" w:line="184" w:lineRule="auto"/>
        <w:tabs>
          <w:tab w:leader="none" w:pos="4300" w:val="left"/>
          <w:tab w:leader="none" w:pos="7820" w:val="left"/>
        </w:tabs>
        <w:rPr>
          <w:sz w:val="20"/>
          <w:szCs w:val="20"/>
          <w:color w:val="auto"/>
        </w:rPr>
      </w:pPr>
      <w:r>
        <w:rPr>
          <w:rFonts w:ascii="Times New Roman" w:cs="Times New Roman" w:eastAsia="Times New Roman" w:hAnsi="Times New Roman"/>
          <w:sz w:val="22"/>
          <w:szCs w:val="22"/>
          <w:color w:val="auto"/>
        </w:rPr>
        <w:t>] commencing on [​</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30"/>
          <w:szCs w:val="30"/>
          <w:b w:val="1"/>
          <w:bCs w:val="1"/>
          <w:u w:val="single" w:color="auto"/>
          <w:color w:val="0000EE"/>
          <w:vertAlign w:val="superscript"/>
        </w:rPr>
        <w:t>1</w:t>
      </w:r>
      <w:r>
        <w:rPr>
          <w:rFonts w:ascii="Times New Roman" w:cs="Times New Roman" w:eastAsia="Times New Roman" w:hAnsi="Times New Roman"/>
          <w:sz w:val="20"/>
          <w:szCs w:val="20"/>
          <w:color w:val="auto"/>
        </w:rPr>
        <w:t xml:space="preserve">  and ending on [​</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30"/>
          <w:szCs w:val="30"/>
          <w:b w:val="1"/>
          <w:bCs w:val="1"/>
          <w:u w:val="single" w:color="auto"/>
          <w:color w:val="0000EE"/>
          <w:vertAlign w:val="superscript"/>
        </w:rPr>
        <w:t>2</w:t>
      </w:r>
      <w:r>
        <w:rPr>
          <w:rFonts w:ascii="Times New Roman" w:cs="Times New Roman" w:eastAsia="Times New Roman" w:hAnsi="Times New Roman"/>
          <w:sz w:val="20"/>
          <w:szCs w:val="20"/>
          <w:color w:val="auto"/>
        </w:rPr>
        <w:t xml:space="preserve">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41021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410210" cy="8255"/>
                    </a:xfrm>
                    <a:prstGeom prst="rect">
                      <a:avLst/>
                    </a:prstGeom>
                    <a:noFill/>
                  </pic:spPr>
                </pic:pic>
              </a:graphicData>
            </a:graphic>
          </wp:anchor>
        </w:drawing>
        <w:drawing>
          <wp:anchor simplePos="0" relativeHeight="251657728" behindDoc="1" locked="0" layoutInCell="0" allowOverlap="1">
            <wp:simplePos x="0" y="0"/>
            <wp:positionH relativeFrom="column">
              <wp:posOffset>1720850</wp:posOffset>
            </wp:positionH>
            <wp:positionV relativeFrom="paragraph">
              <wp:posOffset>-22860</wp:posOffset>
            </wp:positionV>
            <wp:extent cx="10172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101727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-22860</wp:posOffset>
            </wp:positionV>
            <wp:extent cx="10687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receive a Retainer Grant in lieu thereof. If I do not timely submit a properly completed Election Form, I will not receive the applicable Retainer Grant and will instead receive the applicable cash compensation under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164465</wp:posOffset>
            </wp:positionV>
            <wp:extent cx="13627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7"/>
          <w:szCs w:val="17"/>
          <w:color w:val="auto"/>
        </w:rPr>
        <w:t>Applicate Retainer Grant Measurement Date</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17"/>
          <w:szCs w:val="17"/>
          <w:color w:val="auto"/>
        </w:rPr>
        <w:t>Last day of the fiscal year of the Company to which the Retainer Gant Election applies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291" w:name="page292"/>
    <w:bookmarkEnd w:id="291"/>
    <w:p>
      <w:pPr>
        <w:ind w:left="1500" w:hanging="643"/>
        <w:spacing w:after="0"/>
        <w:tabs>
          <w:tab w:leader="none" w:pos="1500" w:val="left"/>
        </w:tabs>
        <w:numPr>
          <w:ilvl w:val="0"/>
          <w:numId w:val="3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RSU A</w:t>
      </w:r>
      <w:r>
        <w:rPr>
          <w:rFonts w:ascii="Times New Roman" w:cs="Times New Roman" w:eastAsia="Times New Roman" w:hAnsi="Times New Roman"/>
          <w:sz w:val="14"/>
          <w:szCs w:val="14"/>
          <w:b w:val="1"/>
          <w:bCs w:val="1"/>
          <w:color w:val="auto"/>
        </w:rPr>
        <w:t>ward and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eferral</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lection</w:t>
      </w:r>
      <w:r>
        <w:rPr>
          <w:rFonts w:ascii="Times New Roman" w:cs="Times New Roman" w:eastAsia="Times New Roman" w:hAnsi="Times New Roman"/>
          <w:sz w:val="22"/>
          <w:szCs w:val="22"/>
          <w:b w:val="1"/>
          <w:bCs w:val="1"/>
          <w:color w:val="auto"/>
        </w:rPr>
        <w:t>:</w:t>
      </w:r>
    </w:p>
    <w:p>
      <w:pPr>
        <w:spacing w:after="0" w:line="211" w:lineRule="exact"/>
        <w:rPr>
          <w:sz w:val="20"/>
          <w:szCs w:val="20"/>
          <w:color w:val="auto"/>
        </w:rPr>
      </w:pPr>
    </w:p>
    <w:p>
      <w:pPr>
        <w:ind w:left="2160" w:hanging="655"/>
        <w:spacing w:after="0"/>
        <w:tabs>
          <w:tab w:leader="none" w:pos="2160" w:val="left"/>
        </w:tabs>
        <w:numPr>
          <w:ilvl w:val="0"/>
          <w:numId w:val="3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By signing below, I elect to defer in accordance with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100% of</w:t>
      </w:r>
    </w:p>
    <w:p>
      <w:pPr>
        <w:ind w:left="200"/>
        <w:spacing w:after="0" w:line="198" w:lineRule="auto"/>
        <w:tabs>
          <w:tab w:leader="none" w:pos="1260" w:val="left"/>
          <w:tab w:leader="none" w:pos="1900" w:val="left"/>
          <w:tab w:leader="none" w:pos="2540" w:val="left"/>
        </w:tabs>
        <w:rPr>
          <w:sz w:val="20"/>
          <w:szCs w:val="20"/>
          <w:color w:val="auto"/>
        </w:rPr>
      </w:pPr>
      <w:r>
        <w:rPr>
          <w:rFonts w:ascii="Times New Roman" w:cs="Times New Roman" w:eastAsia="Times New Roman" w:hAnsi="Times New Roman"/>
          <w:sz w:val="22"/>
          <w:szCs w:val="22"/>
          <w:color w:val="auto"/>
        </w:rPr>
        <w:t>my [</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31"/>
          <w:szCs w:val="31"/>
          <w:u w:val="single" w:color="auto"/>
          <w:color w:val="0000EE"/>
          <w:vertAlign w:val="superscript"/>
        </w:rPr>
        <w:t>3</w:t>
      </w:r>
      <w:r>
        <w:rPr>
          <w:rFonts w:ascii="Times New Roman" w:cs="Times New Roman" w:eastAsia="Times New Roman" w:hAnsi="Times New Roman"/>
          <w:sz w:val="21"/>
          <w:szCs w:val="21"/>
          <w:color w:val="auto"/>
        </w:rPr>
        <w:t xml:space="preserve"> that may be granted to me, if any, under the Plan and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-22225</wp:posOffset>
            </wp:positionV>
            <wp:extent cx="12344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Policy in the calendar year following the calendar year in which I tender this election (or if I first became eligible to participate in the Policy in the calendar year in which I tender this election, in the calendar year in which I tender this election). If I do not timely submit a properly completed</w:t>
      </w:r>
    </w:p>
    <w:p>
      <w:pPr>
        <w:ind w:left="200"/>
        <w:spacing w:after="0" w:line="184" w:lineRule="auto"/>
        <w:tabs>
          <w:tab w:leader="none" w:pos="3140" w:val="left"/>
          <w:tab w:leader="none" w:pos="3780" w:val="left"/>
        </w:tabs>
        <w:rPr>
          <w:sz w:val="20"/>
          <w:szCs w:val="20"/>
          <w:color w:val="auto"/>
        </w:rPr>
      </w:pPr>
      <w:r>
        <w:rPr>
          <w:rFonts w:ascii="Times New Roman" w:cs="Times New Roman" w:eastAsia="Times New Roman" w:hAnsi="Times New Roman"/>
          <w:sz w:val="22"/>
          <w:szCs w:val="22"/>
          <w:color w:val="auto"/>
        </w:rPr>
        <w:t>Election Form, then my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30"/>
          <w:szCs w:val="30"/>
          <w:u w:val="single" w:color="auto"/>
          <w:color w:val="0000EE"/>
          <w:vertAlign w:val="superscript"/>
        </w:rPr>
        <w:t>4</w:t>
      </w:r>
      <w:r>
        <w:rPr>
          <w:rFonts w:ascii="Times New Roman" w:cs="Times New Roman" w:eastAsia="Times New Roman" w:hAnsi="Times New Roman"/>
          <w:sz w:val="20"/>
          <w:szCs w:val="20"/>
          <w:color w:val="auto"/>
        </w:rPr>
        <w:t xml:space="preserve"> will vest and settle in accordance with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-22225</wp:posOffset>
            </wp:positionV>
            <wp:extent cx="8216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5">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Policy, the Plan, and the applicable RSU Award Agreement.</w:t>
      </w:r>
    </w:p>
    <w:p>
      <w:pPr>
        <w:spacing w:after="0" w:line="209" w:lineRule="exact"/>
        <w:rPr>
          <w:sz w:val="20"/>
          <w:szCs w:val="20"/>
          <w:color w:val="auto"/>
        </w:rPr>
      </w:pPr>
    </w:p>
    <w:p>
      <w:pPr>
        <w:ind w:left="200" w:right="219" w:firstLine="1305"/>
        <w:spacing w:after="0" w:line="258" w:lineRule="auto"/>
        <w:tabs>
          <w:tab w:leader="none" w:pos="2144" w:val="left"/>
        </w:tabs>
        <w:numPr>
          <w:ilvl w:val="0"/>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All Awards that are deferred pursuant to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are referred to as </w:t>
      </w:r>
      <w:r>
        <w:rPr>
          <w:rFonts w:ascii="Times New Roman" w:cs="Times New Roman" w:eastAsia="Times New Roman" w:hAnsi="Times New Roman"/>
          <w:sz w:val="22"/>
          <w:szCs w:val="22"/>
          <w:b w:val="1"/>
          <w:bCs w:val="1"/>
          <w:i w:val="1"/>
          <w:iCs w:val="1"/>
          <w:color w:val="auto"/>
        </w:rPr>
        <w:t xml:space="preserve">“Deferred Awards” </w:t>
      </w:r>
      <w:r>
        <w:rPr>
          <w:rFonts w:ascii="Times New Roman" w:cs="Times New Roman" w:eastAsia="Times New Roman" w:hAnsi="Times New Roman"/>
          <w:sz w:val="22"/>
          <w:szCs w:val="22"/>
          <w:color w:val="auto"/>
        </w:rPr>
        <w:t>in this Election Form.</w:t>
      </w:r>
    </w:p>
    <w:p>
      <w:pPr>
        <w:spacing w:after="0" w:line="185"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0"/>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signing below, I elect to have my Deferred Awards settled as follows:</w:t>
      </w:r>
    </w:p>
    <w:p>
      <w:pPr>
        <w:spacing w:after="0" w:line="206" w:lineRule="exact"/>
        <w:rPr>
          <w:rFonts w:ascii="Times New Roman" w:cs="Times New Roman" w:eastAsia="Times New Roman" w:hAnsi="Times New Roman"/>
          <w:sz w:val="22"/>
          <w:szCs w:val="22"/>
          <w:b w:val="1"/>
          <w:bCs w:val="1"/>
          <w:color w:val="auto"/>
        </w:rPr>
      </w:pPr>
    </w:p>
    <w:p>
      <w:pPr>
        <w:jc w:val="both"/>
        <w:ind w:left="200" w:right="219" w:firstLine="1953"/>
        <w:spacing w:after="0" w:line="236" w:lineRule="auto"/>
        <w:tabs>
          <w:tab w:leader="none" w:pos="2792" w:val="left"/>
        </w:tabs>
        <w:numPr>
          <w:ilvl w:val="1"/>
          <w:numId w:val="3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following paragraph, my Deferred Awards will be settled in a single lump sum installment in whole shares on the earlier of (y) immediately prior to a Change in Control, provided that, for the avoidance of doubt, a transaction will not be deemed a Change in Control unless the transaction qualifies as a “change in control event” within the meaning of Treasury Regulation Section 1.409A-3(i)(5); or (z) within 60 days following my Separation Date or my death, whichever is earlier.</w:t>
      </w:r>
    </w:p>
    <w:p>
      <w:pPr>
        <w:spacing w:after="0" w:line="175"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 xml:space="preserve">For the purposes of the foregoing, </w:t>
      </w:r>
      <w:r>
        <w:rPr>
          <w:rFonts w:ascii="Times New Roman" w:cs="Times New Roman" w:eastAsia="Times New Roman" w:hAnsi="Times New Roman"/>
          <w:sz w:val="22"/>
          <w:szCs w:val="22"/>
          <w:b w:val="1"/>
          <w:bCs w:val="1"/>
          <w:i w:val="1"/>
          <w:iCs w:val="1"/>
          <w:color w:val="auto"/>
        </w:rPr>
        <w:t>“Separation Date”</w:t>
      </w:r>
      <w:r>
        <w:rPr>
          <w:rFonts w:ascii="Times New Roman" w:cs="Times New Roman" w:eastAsia="Times New Roman" w:hAnsi="Times New Roman"/>
          <w:sz w:val="22"/>
          <w:szCs w:val="22"/>
          <w:color w:val="auto"/>
        </w:rPr>
        <w:t xml:space="preserve"> means the date of my retirement or other separation from service with the Company and all of its Affiliates (as determined in accordance with Section 409A(2)(A)(i) of the Code and Treasury Regulation Section 1.409A-1(h)).</w:t>
      </w:r>
    </w:p>
    <w:p>
      <w:pPr>
        <w:spacing w:after="0" w:line="178" w:lineRule="exact"/>
        <w:rPr>
          <w:sz w:val="20"/>
          <w:szCs w:val="20"/>
          <w:color w:val="auto"/>
        </w:rPr>
      </w:pPr>
    </w:p>
    <w:p>
      <w:pPr>
        <w:jc w:val="both"/>
        <w:ind w:left="200" w:right="219" w:firstLine="1953"/>
        <w:spacing w:after="0" w:line="236" w:lineRule="auto"/>
        <w:tabs>
          <w:tab w:leader="none" w:pos="2792" w:val="left"/>
        </w:tabs>
        <w:numPr>
          <w:ilvl w:val="2"/>
          <w:numId w:val="3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distribution hereunder is triggered because of my Separation Date and I am a “specified employee” within the meaning of Section 409A at the time of my Separation Date, then the distribution that I would otherwise be entitled to receive upon the Separation Date will not be settled until the date that is 6 months and 1 day following the Separation Date, unless I die following my Separation Date, in which case, my distribution will commence as soon as practicable following my death.</w:t>
      </w:r>
    </w:p>
    <w:p>
      <w:pPr>
        <w:spacing w:after="0" w:line="177"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articipant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cknowledgements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ignatures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agree to all of the terms and conditions of this Election Form.</w:t>
      </w:r>
    </w:p>
    <w:p>
      <w:pPr>
        <w:spacing w:after="0" w:line="233" w:lineRule="exact"/>
        <w:rPr>
          <w:rFonts w:ascii="Times New Roman" w:cs="Times New Roman" w:eastAsia="Times New Roman" w:hAnsi="Times New Roman"/>
          <w:sz w:val="22"/>
          <w:szCs w:val="22"/>
          <w:b w:val="1"/>
          <w:bCs w:val="1"/>
          <w:color w:val="auto"/>
        </w:rPr>
      </w:pPr>
    </w:p>
    <w:p>
      <w:pPr>
        <w:ind w:left="200" w:right="219" w:firstLine="1305"/>
        <w:spacing w:after="0" w:line="258" w:lineRule="auto"/>
        <w:tabs>
          <w:tab w:leader="none" w:pos="2144" w:val="left"/>
        </w:tabs>
        <w:numPr>
          <w:ilvl w:val="1"/>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acknowledge that I have received and read a copy of the Plan’s prospectus and that I am familiar with the terms and provisions of the Plan.</w:t>
      </w:r>
    </w:p>
    <w:p>
      <w:pPr>
        <w:spacing w:after="0" w:line="185" w:lineRule="exact"/>
        <w:rPr>
          <w:rFonts w:ascii="Times New Roman" w:cs="Times New Roman" w:eastAsia="Times New Roman" w:hAnsi="Times New Roman"/>
          <w:sz w:val="22"/>
          <w:szCs w:val="22"/>
          <w:b w:val="1"/>
          <w:bCs w:val="1"/>
          <w:color w:val="auto"/>
        </w:rPr>
      </w:pPr>
    </w:p>
    <w:p>
      <w:pPr>
        <w:ind w:left="200" w:right="219" w:firstLine="1305"/>
        <w:spacing w:after="0" w:line="258" w:lineRule="auto"/>
        <w:tabs>
          <w:tab w:leader="none" w:pos="2144" w:val="left"/>
        </w:tabs>
        <w:numPr>
          <w:ilvl w:val="1"/>
          <w:numId w:val="3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 agree to the right of the Board or the Compensation Committee to amend or terminate my election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at any time and for any reason, with or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13627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 </w:t>
      </w:r>
      <w:r>
        <w:rPr>
          <w:rFonts w:ascii="Times New Roman" w:cs="Times New Roman" w:eastAsia="Times New Roman" w:hAnsi="Times New Roman"/>
          <w:sz w:val="17"/>
          <w:szCs w:val="17"/>
          <w:color w:val="auto"/>
        </w:rPr>
        <w:t>Awards with respect to which the Non-Employee Director is making a deferral election to be included.</w:t>
      </w:r>
    </w:p>
    <w:p>
      <w:pPr>
        <w:spacing w:after="0" w:line="1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7"/>
          <w:szCs w:val="17"/>
          <w:color w:val="auto"/>
        </w:rPr>
        <w:t>Awards with respect to which the Non-Employee Director is making a deferral election to be included.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2" w:name="page293"/>
    <w:bookmarkEnd w:id="29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provided that such termination or amendment is performed in compliance with Section 409A (as determined by Company legal counsel in its sole and absolute discretion).</w:t>
      </w:r>
    </w:p>
    <w:p>
      <w:pPr>
        <w:spacing w:after="0" w:line="186" w:lineRule="exact"/>
        <w:rPr>
          <w:sz w:val="20"/>
          <w:szCs w:val="20"/>
          <w:color w:val="auto"/>
        </w:rPr>
      </w:pPr>
    </w:p>
    <w:p>
      <w:pPr>
        <w:jc w:val="both"/>
        <w:ind w:left="200" w:right="219" w:firstLine="1305"/>
        <w:spacing w:after="0" w:line="238" w:lineRule="auto"/>
        <w:tabs>
          <w:tab w:leader="none" w:pos="2144"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understand that the obligation of the Company to settle any Deferred Awards is unfunded and that no assets of any kind have been segregated in a trust or otherwise set aside to satisfy any obligation under this Election Form. I also understand that any election to defer the settlement of any Awards pursuant to this Election Form will make me only a general, unsecured creditor of the Company.</w:t>
      </w:r>
    </w:p>
    <w:p>
      <w:pPr>
        <w:spacing w:after="0" w:line="203" w:lineRule="exact"/>
        <w:rPr>
          <w:rFonts w:ascii="Times New Roman" w:cs="Times New Roman" w:eastAsia="Times New Roman" w:hAnsi="Times New Roman"/>
          <w:sz w:val="22"/>
          <w:szCs w:val="22"/>
          <w:b w:val="1"/>
          <w:bCs w:val="1"/>
          <w:color w:val="auto"/>
        </w:rPr>
      </w:pPr>
    </w:p>
    <w:p>
      <w:pPr>
        <w:jc w:val="both"/>
        <w:ind w:left="200" w:right="219" w:firstLine="1305"/>
        <w:spacing w:after="0" w:line="238" w:lineRule="auto"/>
        <w:tabs>
          <w:tab w:leader="none" w:pos="2144"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understand that any amounts deferred will be taxable as ordinary income in the year settled. Notwithstanding, I agree and understand that the Company does not guarantee in any way whatsoever the tax treatment of any deferrals or payments made under the Policy or this Election Form. I understand that I will be responsible for all taxes and any other costs owed with respect to any deferrals or payments made with respect to my Awards.</w:t>
      </w:r>
    </w:p>
    <w:p>
      <w:pPr>
        <w:spacing w:after="0" w:line="203"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understand that the Company will be under no obligation to settle any Deferred Awards until any applicable tax withholding obligations are satisfied and that if I fail to satisfy any such tax withholding obligations I will forfeit my right to receive the shares subject to my Deferred Award. I understand that the Company has the right (but not the obligation) to withhold taxes from my Deferred Awards (including pursuant to net share withholding) in any amount and through such procedure as the Company deems necessary or desirable to satisfy any income or other tax obligations incurred with respect to my Awards.</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understand that, upon receipt of any Deferred Awards, in addition to federal taxes, I may owe taxes to the state where I resided at the time of vesting in the Deferred Awards and/or to the state where I reside when the Deferred Awards are settled, if different.</w:t>
      </w:r>
    </w:p>
    <w:p>
      <w:pPr>
        <w:spacing w:after="0" w:line="200" w:lineRule="exact"/>
        <w:rPr>
          <w:rFonts w:ascii="Times New Roman" w:cs="Times New Roman" w:eastAsia="Times New Roman" w:hAnsi="Times New Roman"/>
          <w:sz w:val="22"/>
          <w:szCs w:val="22"/>
          <w:b w:val="1"/>
          <w:bCs w:val="1"/>
          <w:color w:val="auto"/>
        </w:rPr>
      </w:pPr>
    </w:p>
    <w:p>
      <w:pPr>
        <w:jc w:val="both"/>
        <w:ind w:left="200" w:right="219" w:firstLine="1305"/>
        <w:spacing w:after="0" w:line="244" w:lineRule="auto"/>
        <w:tabs>
          <w:tab w:leader="none" w:pos="2144"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understand, acknowledge and agree that the Board or the Compensation Committee has the discretion to make all determinations and decisions regarding any elections set forth on this Election Form.</w:t>
      </w:r>
    </w:p>
    <w:p>
      <w:pPr>
        <w:spacing w:after="0" w:line="200" w:lineRule="exact"/>
        <w:rPr>
          <w:rFonts w:ascii="Times New Roman" w:cs="Times New Roman" w:eastAsia="Times New Roman" w:hAnsi="Times New Roman"/>
          <w:sz w:val="22"/>
          <w:szCs w:val="22"/>
          <w:b w:val="1"/>
          <w:bCs w:val="1"/>
          <w:color w:val="auto"/>
        </w:rPr>
      </w:pPr>
    </w:p>
    <w:p>
      <w:pPr>
        <w:jc w:val="both"/>
        <w:ind w:left="200" w:right="219" w:firstLine="1305"/>
        <w:spacing w:after="0" w:line="236" w:lineRule="auto"/>
        <w:tabs>
          <w:tab w:leader="none" w:pos="2144"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understand that this Election Form and the elections made hereunder are intended to comply with the requirements of Section 409A so that none of [the Deferred Awards or the Retainer Grant] issuable will be subject to the tax acceleration and additional penalty taxes imposed under Section 409A, and any ambiguities herein will be interpreted to so comply. If applicable, I understand that I am solely responsible for any accelerated income taxes and additional taxes and tax penalties imposed by Section 409A.</w:t>
      </w:r>
    </w:p>
    <w:p>
      <w:pPr>
        <w:spacing w:after="0" w:line="208" w:lineRule="exact"/>
        <w:rPr>
          <w:rFonts w:ascii="Times New Roman" w:cs="Times New Roman" w:eastAsia="Times New Roman" w:hAnsi="Times New Roman"/>
          <w:sz w:val="22"/>
          <w:szCs w:val="22"/>
          <w:b w:val="1"/>
          <w:bCs w:val="1"/>
          <w:color w:val="auto"/>
        </w:rPr>
      </w:pPr>
    </w:p>
    <w:p>
      <w:pPr>
        <w:jc w:val="both"/>
        <w:ind w:left="200" w:right="219" w:firstLine="1305"/>
        <w:spacing w:after="0" w:line="235" w:lineRule="auto"/>
        <w:tabs>
          <w:tab w:leader="none" w:pos="2144" w:val="left"/>
        </w:tabs>
        <w:numPr>
          <w:ilvl w:val="0"/>
          <w:numId w:val="3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 also understand that this Election Form and the elections made hereunder will in all respects be subject to the terms and conditions of the Policy, the applicable Award Agreement and the Plan, as applicable. Should any inconsistency exist between this Election Form, the Policy, the Plan, the Award Agreement under which an Award was granted, and/or any applicable law, then the provisions of either the applicable law (including, but not limited to, Section 409A) or the Plan will control, with the Plan subordinated to the applicable law and the Award Agreement and the Policy subordinated to this Election Form.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93" w:name="page294"/>
    <w:bookmarkEnd w:id="293"/>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By signing this Election Form, I authorize the implementation of the above elections. I understand that my [deferral election and retainer grant election] are irrevocable effective as of the Submission Deadline and may not be changed in the future, except in accordance with the requirements of Section 409A and the procedures specified by the Board or the Compensation Committee.</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68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Signed:</w:t>
            </w:r>
          </w:p>
        </w:tc>
        <w:tc>
          <w:tcPr>
            <w:tcW w:w="6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23"/>
        </w:trPr>
        <w:tc>
          <w:tcPr>
            <w:tcW w:w="164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auto"/>
              </w:rPr>
              <w:t>Participant Name:</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260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auto"/>
              </w:rPr>
              <w:t>Agreed to and accepted:</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13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32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9"/>
                <w:szCs w:val="19"/>
                <w:color w:val="auto"/>
              </w:rPr>
            </w:pPr>
          </w:p>
        </w:tc>
        <w:tc>
          <w:tcPr>
            <w:tcW w:w="62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5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-1370965</wp:posOffset>
            </wp:positionV>
            <wp:extent cx="342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-1370965</wp:posOffset>
            </wp:positionV>
            <wp:extent cx="20548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0">
                      <a:extLst>
                        <a:ext uri="{28A0092B-C50C-407E-A947-70E740481C1C}"/>
                      </a:extLst>
                    </a:blip>
                    <a:srcRect/>
                    <a:stretch>
                      <a:fillRect/>
                    </a:stretch>
                  </pic:blipFill>
                  <pic:spPr bwMode="auto">
                    <a:xfrm>
                      <a:off x="0" y="0"/>
                      <a:ext cx="205486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-316865</wp:posOffset>
            </wp:positionV>
            <wp:extent cx="20548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1">
                      <a:extLst>
                        <a:ext uri="{28A0092B-C50C-407E-A947-70E740481C1C}"/>
                      </a:extLst>
                    </a:blip>
                    <a:srcRect/>
                    <a:stretch>
                      <a:fillRect/>
                    </a:stretch>
                  </pic:blipFill>
                  <pic:spPr bwMode="auto">
                    <a:xfrm>
                      <a:off x="0" y="0"/>
                      <a:ext cx="205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IMPORTANT DEADLINE</w:t>
      </w:r>
      <w:r>
        <w:rPr>
          <w:rFonts w:ascii="Times New Roman" w:cs="Times New Roman" w:eastAsia="Times New Roman" w:hAnsi="Times New Roman"/>
          <w:sz w:val="22"/>
          <w:szCs w:val="22"/>
          <w:b w:val="1"/>
          <w:bCs w:val="1"/>
          <w:i w:val="1"/>
          <w:iCs w:val="1"/>
          <w:color w:val="auto"/>
        </w:rPr>
        <w:t>: Please remember that if you wish to make any election set forth on this Election Form, then the properly completed Election Form must be signed by you and returned ON OR BEFORE THE SUBMISSION DEADLINE to the Chief Financial Officer of the Company, with a copy to the Company’s counsel (or such other individual as the Company designates).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94" w:name="page295"/>
    <w:bookmarkEnd w:id="29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271145</wp:posOffset>
            </wp:positionV>
            <wp:extent cx="5452110" cy="3257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3">
                      <a:extLst>
                        <a:ext uri="{28A0092B-C50C-407E-A947-70E740481C1C}"/>
                      </a:extLst>
                    </a:blip>
                    <a:srcRect/>
                    <a:stretch>
                      <a:fillRect/>
                    </a:stretch>
                  </pic:blipFill>
                  <pic:spPr bwMode="auto">
                    <a:xfrm>
                      <a:off x="0" y="0"/>
                      <a:ext cx="54521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w:t>
      </w:r>
      <w:r>
        <w:rPr>
          <w:rFonts w:ascii="Times New Roman" w:cs="Times New Roman" w:eastAsia="Times New Roman" w:hAnsi="Times New Roman"/>
          <w:sz w:val="20"/>
          <w:szCs w:val="20"/>
          <w:b w:val="1"/>
          <w:bCs w:val="1"/>
          <w:color w:val="auto"/>
        </w:rPr>
        <w:t>eta</w:t>
      </w:r>
      <w:r>
        <w:rPr>
          <w:rFonts w:ascii="Times New Roman" w:cs="Times New Roman" w:eastAsia="Times New Roman" w:hAnsi="Times New Roman"/>
          <w:sz w:val="29"/>
          <w:szCs w:val="29"/>
          <w:b w:val="1"/>
          <w:bCs w:val="1"/>
          <w:color w:val="auto"/>
        </w:rPr>
        <w:t>V</w:t>
      </w:r>
      <w:r>
        <w:rPr>
          <w:rFonts w:ascii="Times New Roman" w:cs="Times New Roman" w:eastAsia="Times New Roman" w:hAnsi="Times New Roman"/>
          <w:sz w:val="20"/>
          <w:szCs w:val="20"/>
          <w:b w:val="1"/>
          <w:bCs w:val="1"/>
          <w:color w:val="auto"/>
        </w:rPr>
        <w:t>ia</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w:t>
      </w:r>
      <w:r>
        <w:rPr>
          <w:rFonts w:ascii="Times New Roman" w:cs="Times New Roman" w:eastAsia="Times New Roman" w:hAnsi="Times New Roman"/>
          <w:sz w:val="20"/>
          <w:szCs w:val="20"/>
          <w:b w:val="1"/>
          <w:bCs w:val="1"/>
          <w:color w:val="auto"/>
        </w:rPr>
        <w:t>nsider</w:t>
      </w:r>
      <w:r>
        <w:rPr>
          <w:rFonts w:ascii="Times New Roman" w:cs="Times New Roman" w:eastAsia="Times New Roman" w:hAnsi="Times New Roman"/>
          <w:sz w:val="29"/>
          <w:szCs w:val="29"/>
          <w:b w:val="1"/>
          <w:bCs w:val="1"/>
          <w:color w:val="auto"/>
        </w:rPr>
        <w:t xml:space="preserve"> T</w:t>
      </w:r>
      <w:r>
        <w:rPr>
          <w:rFonts w:ascii="Times New Roman" w:cs="Times New Roman" w:eastAsia="Times New Roman" w:hAnsi="Times New Roman"/>
          <w:sz w:val="20"/>
          <w:szCs w:val="20"/>
          <w:b w:val="1"/>
          <w:bCs w:val="1"/>
          <w:color w:val="auto"/>
        </w:rPr>
        <w:t>rading</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20"/>
          <w:szCs w:val="20"/>
          <w:b w:val="1"/>
          <w:bCs w:val="1"/>
          <w:color w:val="auto"/>
        </w:rPr>
        <w:t>ompliance</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20"/>
          <w:szCs w:val="20"/>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131445</wp:posOffset>
            </wp:positionV>
            <wp:extent cx="53479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4">
                      <a:extLst>
                        <a:ext uri="{28A0092B-C50C-407E-A947-70E740481C1C}"/>
                      </a:extLst>
                    </a:blip>
                    <a:srcRect/>
                    <a:stretch>
                      <a:fillRect/>
                    </a:stretch>
                  </pic:blipFill>
                  <pic:spPr bwMode="auto">
                    <a:xfrm>
                      <a:off x="0" y="0"/>
                      <a:ext cx="534797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Effective November 29, 2024</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This Insider Trading Compliance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consists of four sections:</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I</w:t>
      </w:r>
      <w:r>
        <w:rPr>
          <w:rFonts w:ascii="Times New Roman" w:cs="Times New Roman" w:eastAsia="Times New Roman" w:hAnsi="Times New Roman"/>
          <w:sz w:val="20"/>
          <w:szCs w:val="20"/>
          <w:color w:val="auto"/>
        </w:rPr>
        <w:t xml:space="preserve"> provides an overview; </w:t>
      </w:r>
      <w:r>
        <w:rPr>
          <w:rFonts w:ascii="Times New Roman" w:cs="Times New Roman" w:eastAsia="Times New Roman" w:hAnsi="Times New Roman"/>
          <w:sz w:val="20"/>
          <w:szCs w:val="20"/>
          <w:u w:val="single" w:color="auto"/>
          <w:color w:val="auto"/>
        </w:rPr>
        <w:t>Section II</w:t>
      </w:r>
      <w:r>
        <w:rPr>
          <w:rFonts w:ascii="Times New Roman" w:cs="Times New Roman" w:eastAsia="Times New Roman" w:hAnsi="Times New Roman"/>
          <w:sz w:val="20"/>
          <w:szCs w:val="20"/>
          <w:color w:val="auto"/>
        </w:rPr>
        <w:t xml:space="preserve"> sets forth the policies of M</w:t>
      </w:r>
      <w:r>
        <w:rPr>
          <w:rFonts w:ascii="Times New Roman" w:cs="Times New Roman" w:eastAsia="Times New Roman" w:hAnsi="Times New Roman"/>
          <w:sz w:val="13"/>
          <w:szCs w:val="13"/>
          <w:color w:val="auto"/>
        </w:rPr>
        <w:t>eta</w:t>
      </w: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ia</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prohibiting insider trading; </w:t>
      </w:r>
      <w:r>
        <w:rPr>
          <w:rFonts w:ascii="Times New Roman" w:cs="Times New Roman" w:eastAsia="Times New Roman" w:hAnsi="Times New Roman"/>
          <w:sz w:val="20"/>
          <w:szCs w:val="20"/>
          <w:u w:val="single" w:color="auto"/>
          <w:color w:val="auto"/>
        </w:rPr>
        <w:t>Section III</w:t>
      </w:r>
      <w:r>
        <w:rPr>
          <w:rFonts w:ascii="Times New Roman" w:cs="Times New Roman" w:eastAsia="Times New Roman" w:hAnsi="Times New Roman"/>
          <w:sz w:val="20"/>
          <w:szCs w:val="20"/>
          <w:color w:val="auto"/>
        </w:rPr>
        <w:t xml:space="preserve"> explains insider trading;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consists of various procedures which have been put in place by the Company to prevent insider trading.</w:t>
      </w:r>
    </w:p>
    <w:p>
      <w:pPr>
        <w:spacing w:after="0" w:line="170" w:lineRule="exact"/>
        <w:rPr>
          <w:sz w:val="20"/>
          <w:szCs w:val="20"/>
          <w:color w:val="auto"/>
        </w:rPr>
      </w:pPr>
    </w:p>
    <w:p>
      <w:pPr>
        <w:ind w:left="860" w:hanging="651"/>
        <w:spacing w:after="0"/>
        <w:tabs>
          <w:tab w:leader="none" w:pos="860"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w:t>
      </w:r>
    </w:p>
    <w:p>
      <w:pPr>
        <w:spacing w:after="0" w:line="22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Preventing insider trading is necessary to comply with securities laws and to preserve the reputation and integrity of the Company as well as that of all persons affiliated with it. “Insider trading” occurs when any person purchases or sells a security while in possession of inside information relating to the security. As explained in </w:t>
      </w:r>
      <w:r>
        <w:rPr>
          <w:rFonts w:ascii="Times New Roman" w:cs="Times New Roman" w:eastAsia="Times New Roman" w:hAnsi="Times New Roman"/>
          <w:sz w:val="20"/>
          <w:szCs w:val="20"/>
          <w:u w:val="single" w:color="auto"/>
          <w:color w:val="auto"/>
        </w:rPr>
        <w:t>Section III</w:t>
      </w:r>
      <w:r>
        <w:rPr>
          <w:rFonts w:ascii="Times New Roman" w:cs="Times New Roman" w:eastAsia="Times New Roman" w:hAnsi="Times New Roman"/>
          <w:sz w:val="20"/>
          <w:szCs w:val="20"/>
          <w:color w:val="auto"/>
        </w:rPr>
        <w:t xml:space="preserve"> below, “inside information” is information which is considered to be both “material” and “non-public.” Insider trading is a crime and the penalties for violating the law include imprisonment, disgorgement of profits, civil fines of up to three (3) times the profit gained or loss avoided, and criminal fines of up to $5,000,000 for individuals and $25,000,000 for entities. Insider trading is also prohibited by this Policy and could result in serious sanctions, including dismissal.</w:t>
      </w:r>
    </w:p>
    <w:p>
      <w:pPr>
        <w:spacing w:after="0" w:line="189"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This Policy applies to all officers, directors and employees of the Company and extends to all activities within and outside an individual’s duties at the Company. This Policy also applies to any consultant or contractor to the Company that receives or has access to material, non-public information regarding the Company (each such consultant or contractor, including such consultant’s or contractor’s representatives and agents, a </w:t>
      </w:r>
      <w:r>
        <w:rPr>
          <w:rFonts w:ascii="Times New Roman" w:cs="Times New Roman" w:eastAsia="Times New Roman" w:hAnsi="Times New Roman"/>
          <w:sz w:val="20"/>
          <w:szCs w:val="20"/>
          <w:b w:val="1"/>
          <w:bCs w:val="1"/>
          <w:i w:val="1"/>
          <w:iCs w:val="1"/>
          <w:color w:val="auto"/>
        </w:rPr>
        <w:t>“Subject Contractor”</w:t>
      </w:r>
      <w:r>
        <w:rPr>
          <w:rFonts w:ascii="Times New Roman" w:cs="Times New Roman" w:eastAsia="Times New Roman" w:hAnsi="Times New Roman"/>
          <w:sz w:val="20"/>
          <w:szCs w:val="20"/>
          <w:color w:val="auto"/>
        </w:rPr>
        <w:t xml:space="preserve">). Every officer, director, employee and Subject Contractor must review and adhere to this Policy. The Company has appointed the person serving as the Company’s Chief Financial Officer or Acting Chief Financial Officer as the Company’s Insider Trading Compliance Officer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xml:space="preserve">). The Audit Committee (the </w:t>
      </w:r>
      <w:r>
        <w:rPr>
          <w:rFonts w:ascii="Times New Roman" w:cs="Times New Roman" w:eastAsia="Times New Roman" w:hAnsi="Times New Roman"/>
          <w:sz w:val="20"/>
          <w:szCs w:val="20"/>
          <w:b w:val="1"/>
          <w:bCs w:val="1"/>
          <w:i w:val="1"/>
          <w:iCs w:val="1"/>
          <w:color w:val="auto"/>
        </w:rPr>
        <w:t>“Audit Committee”</w:t>
      </w:r>
      <w:r>
        <w:rPr>
          <w:rFonts w:ascii="Times New Roman" w:cs="Times New Roman" w:eastAsia="Times New Roman" w:hAnsi="Times New Roman"/>
          <w:sz w:val="20"/>
          <w:szCs w:val="20"/>
          <w:color w:val="auto"/>
        </w:rPr>
        <w:t>) of the Board of Directors of the Company is responsible for oversight of this Policy. The Compliance Officer is responsible for monitoring and updating this Policy and presenting any material updates to the Policy to the Audit Committee for approval. Questions regarding the Policy should be directed to the Compliance Officer.</w:t>
      </w:r>
    </w:p>
    <w:p>
      <w:pPr>
        <w:spacing w:after="0" w:line="183" w:lineRule="exact"/>
        <w:rPr>
          <w:sz w:val="20"/>
          <w:szCs w:val="20"/>
          <w:color w:val="auto"/>
        </w:rPr>
      </w:pPr>
    </w:p>
    <w:p>
      <w:pPr>
        <w:ind w:left="860" w:hanging="651"/>
        <w:spacing w:after="0"/>
        <w:tabs>
          <w:tab w:leader="none" w:pos="860"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POLICIES PROHIBITING INSIDER TRADING.</w:t>
      </w:r>
    </w:p>
    <w:p>
      <w:pPr>
        <w:spacing w:after="0" w:line="219" w:lineRule="exact"/>
        <w:rPr>
          <w:rFonts w:ascii="Times New Roman" w:cs="Times New Roman" w:eastAsia="Times New Roman" w:hAnsi="Times New Roman"/>
          <w:sz w:val="20"/>
          <w:szCs w:val="20"/>
          <w:b w:val="1"/>
          <w:bCs w:val="1"/>
          <w:color w:val="auto"/>
        </w:rPr>
      </w:pPr>
    </w:p>
    <w:p>
      <w:pPr>
        <w:jc w:val="both"/>
        <w:ind w:left="200" w:right="219" w:firstLine="657"/>
        <w:spacing w:after="0" w:line="254" w:lineRule="auto"/>
        <w:tabs>
          <w:tab w:leader="none" w:pos="1496" w:val="left"/>
        </w:tabs>
        <w:numPr>
          <w:ilvl w:val="1"/>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officer, director, employee or Subject Contractor shall purchase or sell any type of security while in possession of material, non-public information relating to the security, whether the issuer of such security is the Company or any other company.</w:t>
      </w:r>
    </w:p>
    <w:p>
      <w:pPr>
        <w:spacing w:after="0" w:line="174" w:lineRule="exact"/>
        <w:rPr>
          <w:rFonts w:ascii="Times New Roman" w:cs="Times New Roman" w:eastAsia="Times New Roman" w:hAnsi="Times New Roman"/>
          <w:sz w:val="20"/>
          <w:szCs w:val="20"/>
          <w:b w:val="1"/>
          <w:bCs w:val="1"/>
          <w:color w:val="auto"/>
        </w:rPr>
      </w:pPr>
    </w:p>
    <w:p>
      <w:pPr>
        <w:jc w:val="both"/>
        <w:ind w:left="200" w:right="219" w:firstLine="657"/>
        <w:spacing w:after="0" w:line="266" w:lineRule="auto"/>
        <w:tabs>
          <w:tab w:leader="none" w:pos="1496" w:val="left"/>
        </w:tabs>
        <w:numPr>
          <w:ilvl w:val="1"/>
          <w:numId w:val="3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Additionally, except as set forth in </w:t>
      </w:r>
      <w:r>
        <w:rPr>
          <w:rFonts w:ascii="Times New Roman" w:cs="Times New Roman" w:eastAsia="Times New Roman" w:hAnsi="Times New Roman"/>
          <w:sz w:val="19"/>
          <w:szCs w:val="19"/>
          <w:u w:val="single" w:color="auto"/>
          <w:color w:val="auto"/>
        </w:rPr>
        <w:t>Section II.D.</w:t>
      </w:r>
      <w:r>
        <w:rPr>
          <w:rFonts w:ascii="Times New Roman" w:cs="Times New Roman" w:eastAsia="Times New Roman" w:hAnsi="Times New Roman"/>
          <w:sz w:val="19"/>
          <w:szCs w:val="19"/>
          <w:color w:val="auto"/>
        </w:rPr>
        <w:t xml:space="preserve"> below and except for transactions effected under an approved Rule 10b5-1 Trading Plan as described in </w:t>
      </w:r>
      <w:r>
        <w:rPr>
          <w:rFonts w:ascii="Times New Roman" w:cs="Times New Roman" w:eastAsia="Times New Roman" w:hAnsi="Times New Roman"/>
          <w:sz w:val="19"/>
          <w:szCs w:val="19"/>
          <w:u w:val="single" w:color="auto"/>
          <w:color w:val="auto"/>
        </w:rPr>
        <w:t>Section V</w:t>
      </w:r>
      <w:r>
        <w:rPr>
          <w:rFonts w:ascii="Times New Roman" w:cs="Times New Roman" w:eastAsia="Times New Roman" w:hAnsi="Times New Roman"/>
          <w:sz w:val="19"/>
          <w:szCs w:val="19"/>
          <w:color w:val="auto"/>
        </w:rPr>
        <w:t xml:space="preserve"> below, </w:t>
      </w:r>
      <w:r>
        <w:rPr>
          <w:rFonts w:ascii="Times New Roman" w:cs="Times New Roman" w:eastAsia="Times New Roman" w:hAnsi="Times New Roman"/>
          <w:sz w:val="19"/>
          <w:szCs w:val="19"/>
          <w:b w:val="1"/>
          <w:bCs w:val="1"/>
          <w:color w:val="auto"/>
        </w:rPr>
        <w:t>no officer, director,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employee or Subject Contractor shall purchase or sell any security of the Company during the period beginning on the last “trading day” of the fiscal quarter and ending two (2) full “trading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239395</wp:posOffset>
            </wp:positionV>
            <wp:extent cx="534479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5">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3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5" w:name="page296"/>
    <w:bookmarkEnd w:id="295"/>
    <w:p>
      <w:pPr>
        <w:jc w:val="both"/>
        <w:ind w:left="200" w:right="21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the public release of the Company’s quarterly/annual report whether or not the Company or any of its officers, directors, employees or Subject Contractors is in possession of material, non-public information (the </w:t>
      </w:r>
      <w:r>
        <w:rPr>
          <w:rFonts w:ascii="Times New Roman" w:cs="Times New Roman" w:eastAsia="Times New Roman" w:hAnsi="Times New Roman"/>
          <w:sz w:val="20"/>
          <w:szCs w:val="20"/>
          <w:b w:val="1"/>
          <w:bCs w:val="1"/>
          <w:i w:val="1"/>
          <w:iCs w:val="1"/>
          <w:color w:val="auto"/>
        </w:rPr>
        <w:t>“Black-Out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purposes of this Policy, a “trading day” shall mean a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which national stock exchanges are open for trading. The Company also encourages officers, directors, employees and Subject Contractors to consider conducting transactions in the Company’s securities only during the first 20 calendar days following the end of the Black-Out Period.</w:t>
      </w:r>
    </w:p>
    <w:p>
      <w:pPr>
        <w:spacing w:after="0" w:line="183" w:lineRule="exact"/>
        <w:rPr>
          <w:sz w:val="20"/>
          <w:szCs w:val="20"/>
          <w:color w:val="auto"/>
        </w:rPr>
      </w:pPr>
    </w:p>
    <w:p>
      <w:pPr>
        <w:jc w:val="both"/>
        <w:ind w:left="200" w:right="219" w:firstLine="657"/>
        <w:spacing w:after="0" w:line="246" w:lineRule="auto"/>
        <w:tabs>
          <w:tab w:leader="none" w:pos="1496" w:val="left"/>
        </w:tabs>
        <w:numPr>
          <w:ilvl w:val="1"/>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officer, director, employee or Subject Contractor shall directly or indirectly tip material, non-public information to anyone while in possession of such information. In addition, material, non-public information should not be communicated to anyone outside the Company under any circumstances (absent prior approval by the Compliance Officer and execution of an appropriate confidentiality agreement), or to anyone within the Company other than on a need-to- know basis.</w:t>
      </w:r>
    </w:p>
    <w:p>
      <w:pPr>
        <w:spacing w:after="0" w:line="184" w:lineRule="exact"/>
        <w:rPr>
          <w:rFonts w:ascii="Times New Roman" w:cs="Times New Roman" w:eastAsia="Times New Roman" w:hAnsi="Times New Roman"/>
          <w:sz w:val="20"/>
          <w:szCs w:val="20"/>
          <w:b w:val="1"/>
          <w:bCs w:val="1"/>
          <w:color w:val="auto"/>
        </w:rPr>
      </w:pPr>
    </w:p>
    <w:p>
      <w:pPr>
        <w:ind w:left="200" w:right="239" w:firstLine="657"/>
        <w:spacing w:after="0" w:line="269" w:lineRule="auto"/>
        <w:tabs>
          <w:tab w:leader="none" w:pos="1496" w:val="left"/>
        </w:tabs>
        <w:numPr>
          <w:ilvl w:val="1"/>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This Policy does not apply in the case of the following transactions under Company plans, except as set forth under </w:t>
      </w:r>
      <w:r>
        <w:rPr>
          <w:rFonts w:ascii="Times New Roman" w:cs="Times New Roman" w:eastAsia="Times New Roman" w:hAnsi="Times New Roman"/>
          <w:sz w:val="20"/>
          <w:szCs w:val="20"/>
          <w:u w:val="single" w:color="auto"/>
          <w:color w:val="auto"/>
        </w:rPr>
        <w:t>Section IV.D. (Pre-Clearance)</w:t>
      </w:r>
      <w:r>
        <w:rPr>
          <w:rFonts w:ascii="Times New Roman" w:cs="Times New Roman" w:eastAsia="Times New Roman" w:hAnsi="Times New Roman"/>
          <w:sz w:val="20"/>
          <w:szCs w:val="20"/>
          <w:color w:val="auto"/>
        </w:rPr>
        <w:t xml:space="preserve"> and except as otherwise specifically noted:</w:t>
      </w:r>
    </w:p>
    <w:p>
      <w:pPr>
        <w:spacing w:after="0" w:line="159" w:lineRule="exact"/>
        <w:rPr>
          <w:rFonts w:ascii="Times New Roman" w:cs="Times New Roman" w:eastAsia="Times New Roman" w:hAnsi="Times New Roman"/>
          <w:sz w:val="20"/>
          <w:szCs w:val="20"/>
          <w:b w:val="1"/>
          <w:bCs w:val="1"/>
          <w:color w:val="auto"/>
        </w:rPr>
      </w:pPr>
    </w:p>
    <w:p>
      <w:pPr>
        <w:jc w:val="both"/>
        <w:ind w:left="2160" w:right="219" w:hanging="655"/>
        <w:spacing w:after="0" w:line="244" w:lineRule="auto"/>
        <w:tabs>
          <w:tab w:leader="none" w:pos="2160" w:val="left"/>
        </w:tabs>
        <w:numPr>
          <w:ilvl w:val="2"/>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does not apply to the exercise of stock options or the vesting of restricted stock units or restricted stock, in each case granted under Company’s equity compensation plans. This Policy does apply, however, to any sale of Company Stock (as defined below) as part of a broker-assisted cashless option exercise, or any other market sale of the Company Stock received upon exercise or vesting of any equity award, whether or not for the purpose of generating the cash needed to pay the exercise price of a stock option or to pay taxes.</w:t>
      </w:r>
    </w:p>
    <w:p>
      <w:pPr>
        <w:spacing w:after="0" w:line="185" w:lineRule="exact"/>
        <w:rPr>
          <w:rFonts w:ascii="Times New Roman" w:cs="Times New Roman" w:eastAsia="Times New Roman" w:hAnsi="Times New Roman"/>
          <w:sz w:val="20"/>
          <w:szCs w:val="20"/>
          <w:b w:val="1"/>
          <w:bCs w:val="1"/>
          <w:color w:val="auto"/>
        </w:rPr>
      </w:pPr>
    </w:p>
    <w:p>
      <w:pPr>
        <w:jc w:val="both"/>
        <w:ind w:left="2160" w:right="219" w:hanging="655"/>
        <w:spacing w:after="0" w:line="244" w:lineRule="auto"/>
        <w:tabs>
          <w:tab w:leader="none" w:pos="2160" w:val="left"/>
        </w:tabs>
        <w:numPr>
          <w:ilvl w:val="2"/>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does not apply to the surrender of shares directly to the Company to satisfy tax withholding obligations as a result of the issuance of shares upon vesting or exercise of restricted stock units, stock options or other equity awards granted under the Company’s equity compensation plans. Of course, any market sale of the Company Stock received upon exercise or vesting of any such equity awards remains subject to all provisions of this Policy, whether or not for the purpose of generating the cash needed to pay the exercise price or pay taxes.</w:t>
      </w:r>
    </w:p>
    <w:p>
      <w:pPr>
        <w:spacing w:after="0" w:line="185" w:lineRule="exact"/>
        <w:rPr>
          <w:rFonts w:ascii="Times New Roman" w:cs="Times New Roman" w:eastAsia="Times New Roman" w:hAnsi="Times New Roman"/>
          <w:sz w:val="20"/>
          <w:szCs w:val="20"/>
          <w:b w:val="1"/>
          <w:bCs w:val="1"/>
          <w:color w:val="auto"/>
        </w:rPr>
      </w:pPr>
    </w:p>
    <w:p>
      <w:pPr>
        <w:jc w:val="both"/>
        <w:ind w:left="2160" w:right="219" w:hanging="655"/>
        <w:spacing w:after="0" w:line="249" w:lineRule="auto"/>
        <w:tabs>
          <w:tab w:leader="none" w:pos="2160" w:val="left"/>
        </w:tabs>
        <w:numPr>
          <w:ilvl w:val="2"/>
          <w:numId w:val="3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does not apply to purchases of Company Stock under any employee stock purchase plan adopted by the Company (“</w:t>
      </w:r>
      <w:r>
        <w:rPr>
          <w:rFonts w:ascii="Times New Roman" w:cs="Times New Roman" w:eastAsia="Times New Roman" w:hAnsi="Times New Roman"/>
          <w:sz w:val="20"/>
          <w:szCs w:val="20"/>
          <w:b w:val="1"/>
          <w:bCs w:val="1"/>
          <w:i w:val="1"/>
          <w:iCs w:val="1"/>
          <w:color w:val="auto"/>
        </w:rPr>
        <w:t>ESPP</w:t>
      </w:r>
      <w:r>
        <w:rPr>
          <w:rFonts w:ascii="Times New Roman" w:cs="Times New Roman" w:eastAsia="Times New Roman" w:hAnsi="Times New Roman"/>
          <w:sz w:val="20"/>
          <w:szCs w:val="20"/>
          <w:color w:val="auto"/>
        </w:rPr>
        <w:t>”) on periodic designated dates in accordance with the ESPP. This Policy does apply, however, to an employee’s sale of Company Stock purchased pursuant to the ESPP.</w:t>
      </w:r>
    </w:p>
    <w:p>
      <w:pPr>
        <w:spacing w:after="0" w:line="179" w:lineRule="exact"/>
        <w:rPr>
          <w:rFonts w:ascii="Times New Roman" w:cs="Times New Roman" w:eastAsia="Times New Roman" w:hAnsi="Times New Roman"/>
          <w:sz w:val="20"/>
          <w:szCs w:val="20"/>
          <w:b w:val="1"/>
          <w:bCs w:val="1"/>
          <w:color w:val="auto"/>
        </w:rPr>
      </w:pPr>
    </w:p>
    <w:p>
      <w:pPr>
        <w:jc w:val="both"/>
        <w:ind w:left="2160" w:right="219" w:hanging="655"/>
        <w:spacing w:after="0" w:line="259" w:lineRule="auto"/>
        <w:tabs>
          <w:tab w:leader="none" w:pos="2160" w:val="left"/>
        </w:tabs>
        <w:numPr>
          <w:ilvl w:val="2"/>
          <w:numId w:val="3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This Policy does not apply to acquisition of Company Stock on periodic designated dates in accordance with the Company’s Non-Employee Directors’ Compensation Policy (the </w:t>
      </w:r>
      <w:r>
        <w:rPr>
          <w:rFonts w:ascii="Times New Roman" w:cs="Times New Roman" w:eastAsia="Times New Roman" w:hAnsi="Times New Roman"/>
          <w:sz w:val="19"/>
          <w:szCs w:val="19"/>
          <w:b w:val="1"/>
          <w:bCs w:val="1"/>
          <w:i w:val="1"/>
          <w:iCs w:val="1"/>
          <w:color w:val="auto"/>
        </w:rPr>
        <w:t>“Directors’ Compensation Policy”</w:t>
      </w:r>
      <w:r>
        <w:rPr>
          <w:rFonts w:ascii="Times New Roman" w:cs="Times New Roman" w:eastAsia="Times New Roman" w:hAnsi="Times New Roman"/>
          <w:sz w:val="19"/>
          <w:szCs w:val="19"/>
          <w:color w:val="auto"/>
        </w:rPr>
        <w:t>). This Policy does apply, however, to a director’s election to receive Company Stock in lieu of cash compensation under the Directors’ Compensation Policy. Accordingly, such elections may not be effected during a Black-Out Period or when a director is otherwise in possession of material, non- public information relating to the Company or any of its securities.</w:t>
      </w:r>
    </w:p>
    <w:p>
      <w:pPr>
        <w:spacing w:after="0" w:line="168" w:lineRule="exact"/>
        <w:rPr>
          <w:rFonts w:ascii="Times New Roman" w:cs="Times New Roman" w:eastAsia="Times New Roman" w:hAnsi="Times New Roman"/>
          <w:sz w:val="19"/>
          <w:szCs w:val="19"/>
          <w:b w:val="1"/>
          <w:bCs w:val="1"/>
          <w:color w:val="auto"/>
        </w:rPr>
      </w:pPr>
    </w:p>
    <w:p>
      <w:pPr>
        <w:ind w:left="860" w:hanging="651"/>
        <w:spacing w:after="0"/>
        <w:tabs>
          <w:tab w:leader="none" w:pos="860" w:val="left"/>
        </w:tabs>
        <w:numPr>
          <w:ilvl w:val="0"/>
          <w:numId w:val="3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EXPLANATION OF INSIDER TRADING.</w:t>
      </w:r>
    </w:p>
    <w:p>
      <w:pPr>
        <w:spacing w:after="0" w:line="219"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noted above, “insider trading” refers to the purchase or sale of a security while in possession of</w:t>
      </w:r>
    </w:p>
    <w:p>
      <w:pPr>
        <w:spacing w:after="0" w:line="22"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“material,” “non-public” information relating to the security. “Securities” include not only stocks, bonds, notes and debentures, but also stock options, warrants and similar instruments. “Purchase” and “sale” are defined broadly under the federal securities laws. “Purchase” includes not only the actual purchase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53447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7">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96" w:name="page297"/>
    <w:bookmarkEnd w:id="296"/>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grant and exercise of stock options and acquisitions and exercises of warrants or puts, calls or other options related to a security. It is generally understood that insider trading includes the following:</w:t>
      </w:r>
    </w:p>
    <w:p>
      <w:pPr>
        <w:spacing w:after="0" w:line="185" w:lineRule="exact"/>
        <w:rPr>
          <w:sz w:val="20"/>
          <w:szCs w:val="20"/>
          <w:color w:val="auto"/>
        </w:rPr>
      </w:pPr>
    </w:p>
    <w:p>
      <w:pPr>
        <w:ind w:left="1500" w:hanging="643"/>
        <w:spacing w:after="0"/>
        <w:tabs>
          <w:tab w:leader="none" w:pos="150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insiders while in possession of material, non-public information;</w:t>
      </w:r>
    </w:p>
    <w:p>
      <w:pPr>
        <w:spacing w:after="0" w:line="215" w:lineRule="exact"/>
        <w:rPr>
          <w:rFonts w:ascii="Times New Roman" w:cs="Times New Roman" w:eastAsia="Times New Roman" w:hAnsi="Times New Roman"/>
          <w:sz w:val="20"/>
          <w:szCs w:val="20"/>
          <w:color w:val="auto"/>
        </w:rPr>
      </w:pPr>
    </w:p>
    <w:p>
      <w:pPr>
        <w:jc w:val="both"/>
        <w:ind w:left="1500" w:right="219" w:hanging="643"/>
        <w:spacing w:after="0" w:line="254" w:lineRule="auto"/>
        <w:tabs>
          <w:tab w:leader="none" w:pos="150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174" w:lineRule="exact"/>
        <w:rPr>
          <w:rFonts w:ascii="Times New Roman" w:cs="Times New Roman" w:eastAsia="Times New Roman" w:hAnsi="Times New Roman"/>
          <w:sz w:val="20"/>
          <w:szCs w:val="20"/>
          <w:color w:val="auto"/>
        </w:rPr>
      </w:pPr>
    </w:p>
    <w:p>
      <w:pPr>
        <w:ind w:left="1500" w:right="219" w:hanging="643"/>
        <w:spacing w:after="0" w:line="269" w:lineRule="auto"/>
        <w:tabs>
          <w:tab w:leader="none" w:pos="150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or tipping material, non-public information to others, including recommending the purchase or sale of a security while in possession of such information.</w:t>
      </w:r>
    </w:p>
    <w:p>
      <w:pPr>
        <w:spacing w:after="0" w:line="155" w:lineRule="exact"/>
        <w:rPr>
          <w:sz w:val="20"/>
          <w:szCs w:val="20"/>
          <w:color w:val="auto"/>
        </w:rPr>
      </w:pPr>
    </w:p>
    <w:p>
      <w:pPr>
        <w:ind w:left="1500" w:hanging="643"/>
        <w:spacing w:after="0"/>
        <w:tabs>
          <w:tab w:leader="none" w:pos="1500" w:val="left"/>
        </w:tabs>
        <w:numPr>
          <w:ilvl w:val="0"/>
          <w:numId w:val="3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hat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acts are</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aterial</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185"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Examples of material information include (but are not limited to) facts concerning: dividends; corporate earnings or earnings forecasts; possible mergers or acquisitions; significant developments in borrowings or financings; information concerning product developments or clinical results; important business developments and major litigation developments. Moreover, material information does not have to be related to a company’s business. For example, the contents of a forthcoming newspaper column that is expected to affect the market price of a security can be material.</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A good general rule of thumb: </w:t>
      </w:r>
      <w:r>
        <w:rPr>
          <w:rFonts w:ascii="Times New Roman" w:cs="Times New Roman" w:eastAsia="Times New Roman" w:hAnsi="Times New Roman"/>
          <w:sz w:val="20"/>
          <w:szCs w:val="20"/>
          <w:b w:val="1"/>
          <w:bCs w:val="1"/>
          <w:color w:val="auto"/>
        </w:rPr>
        <w:t>when in doubt, do not trade.</w:t>
      </w:r>
    </w:p>
    <w:p>
      <w:pPr>
        <w:spacing w:after="0" w:line="216" w:lineRule="exact"/>
        <w:rPr>
          <w:sz w:val="20"/>
          <w:szCs w:val="20"/>
          <w:color w:val="auto"/>
        </w:rPr>
      </w:pPr>
    </w:p>
    <w:p>
      <w:pPr>
        <w:ind w:left="1500" w:hanging="643"/>
        <w:spacing w:after="0"/>
        <w:tabs>
          <w:tab w:leader="none" w:pos="1500"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hat is</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ublic</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 xml:space="preserve">Information is “non-public” if it is not available to the general public. In order for information to be considered public, it must be widely disseminated in a manner making it generally available to investors through such media as Dow Jones, Reuters, The Wall Street Journal, Business Wire, Globe Newswire, Associated Press, PR Newswire or United Press International or filed with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circulation of rumors, even if accurate and reported in the media, does not constitute effective public dissemination.</w:t>
      </w:r>
    </w:p>
    <w:p>
      <w:pPr>
        <w:spacing w:after="0" w:line="18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In addition, even after a public announcement, a reasonable period of time must lapse in order for the market to react to the information. Generally, one should allow approximately twenty-four (24) hours following publication as a reasonable waiting period before such information is deemed to be public.</w:t>
      </w:r>
    </w:p>
    <w:p>
      <w:pPr>
        <w:spacing w:after="0" w:line="170" w:lineRule="exact"/>
        <w:rPr>
          <w:sz w:val="20"/>
          <w:szCs w:val="20"/>
          <w:color w:val="auto"/>
        </w:rPr>
      </w:pPr>
    </w:p>
    <w:p>
      <w:pPr>
        <w:ind w:left="1500" w:hanging="643"/>
        <w:spacing w:after="0"/>
        <w:tabs>
          <w:tab w:leader="none" w:pos="1500"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3"/>
          <w:szCs w:val="13"/>
          <w:b w:val="1"/>
          <w:bCs w:val="1"/>
          <w:color w:val="auto"/>
        </w:rPr>
        <w:t>ho is an</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“Insiders” include officers, directors and employees of a company and anyone else who has material inside information about a company, including Subject Contractors. Insiders have independent fiduciary duties to their company and its stockholders not to trade on material, non- public information relating to the company’s securities. All officers, directors, employees and Subject Contractors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111125</wp:posOffset>
            </wp:positionV>
            <wp:extent cx="53447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9">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7" w:name="page298"/>
    <w:bookmarkEnd w:id="297"/>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Company should consider themselves insiders with respect to material, non-public information about the Company’s business, activities and securities. Officers, directors, employees and Subject Contractors may not trade the Company’s securities while in possession of material, non-public information relating to the Company nor tip (or communicate within the Company except on a need-to-know basis) such information to others.</w:t>
      </w:r>
    </w:p>
    <w:p>
      <w:pPr>
        <w:spacing w:after="0" w:line="185"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It should be noted that trading by members of an insider’s household can be the responsibility of such insider under certain circumstances and could give rise to legal and Company-imposed sanctions.</w:t>
      </w:r>
    </w:p>
    <w:p>
      <w:pPr>
        <w:spacing w:after="0" w:line="155" w:lineRule="exact"/>
        <w:rPr>
          <w:sz w:val="20"/>
          <w:szCs w:val="20"/>
          <w:color w:val="auto"/>
        </w:rPr>
      </w:pPr>
    </w:p>
    <w:p>
      <w:pPr>
        <w:ind w:left="1500" w:hanging="643"/>
        <w:spacing w:after="0"/>
        <w:tabs>
          <w:tab w:leader="none" w:pos="1500" w:val="left"/>
        </w:tabs>
        <w:numPr>
          <w:ilvl w:val="0"/>
          <w:numId w:val="3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rading by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ersons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 than</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nsiders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Insiders may be liable for communicating or tipping material, non-public information to a third party (a </w:t>
      </w:r>
      <w:r>
        <w:rPr>
          <w:rFonts w:ascii="Times New Roman" w:cs="Times New Roman" w:eastAsia="Times New Roman" w:hAnsi="Times New Roman"/>
          <w:sz w:val="20"/>
          <w:szCs w:val="20"/>
          <w:b w:val="1"/>
          <w:bCs w:val="1"/>
          <w:i w:val="1"/>
          <w:iCs w:val="1"/>
          <w:color w:val="auto"/>
        </w:rPr>
        <w:t>“tippee”</w:t>
      </w:r>
      <w:r>
        <w:rPr>
          <w:rFonts w:ascii="Times New Roman" w:cs="Times New Roman" w:eastAsia="Times New Roman" w:hAnsi="Times New Roman"/>
          <w:sz w:val="20"/>
          <w:szCs w:val="20"/>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 public information which has been misappropriated.</w:t>
      </w:r>
    </w:p>
    <w:p>
      <w:pPr>
        <w:spacing w:after="0" w:line="185"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80" w:lineRule="exact"/>
        <w:rPr>
          <w:sz w:val="20"/>
          <w:szCs w:val="20"/>
          <w:color w:val="auto"/>
        </w:rPr>
      </w:pPr>
    </w:p>
    <w:p>
      <w:pPr>
        <w:ind w:left="1500" w:hanging="643"/>
        <w:spacing w:after="0"/>
        <w:tabs>
          <w:tab w:leader="none" w:pos="1500"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enalties for</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ngaging in</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Penalties for trading on or tipping material, non-public information can extend significantly beyond any profits made or losses avoided, both for individuals engaging in such unlawful conduct and their employers. The SEC and the Department of Justice have made the civil and criminal prosecution of insider trading violations a top priority. Enforcement remedies available to the government or private plaintiffs under the federal securities laws include:</w:t>
      </w:r>
    </w:p>
    <w:p>
      <w:pPr>
        <w:spacing w:after="0" w:line="185" w:lineRule="exact"/>
        <w:rPr>
          <w:sz w:val="20"/>
          <w:szCs w:val="20"/>
          <w:color w:val="auto"/>
        </w:rPr>
      </w:pPr>
    </w:p>
    <w:p>
      <w:pPr>
        <w:ind w:left="1500" w:hanging="643"/>
        <w:spacing w:after="0"/>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administrative sanctions;</w:t>
      </w:r>
    </w:p>
    <w:p>
      <w:pPr>
        <w:spacing w:after="0" w:line="21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industry self-regulatory organization sanctions;</w:t>
      </w:r>
    </w:p>
    <w:p>
      <w:pPr>
        <w:spacing w:after="0" w:line="21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injunctions;</w:t>
      </w:r>
    </w:p>
    <w:p>
      <w:pPr>
        <w:spacing w:after="0" w:line="21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awards to private plaintiffs;</w:t>
      </w:r>
    </w:p>
    <w:p>
      <w:pPr>
        <w:spacing w:after="0" w:line="215"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all profits;</w:t>
      </w:r>
    </w:p>
    <w:p>
      <w:pPr>
        <w:spacing w:after="0" w:line="215" w:lineRule="exact"/>
        <w:rPr>
          <w:rFonts w:ascii="Times New Roman" w:cs="Times New Roman" w:eastAsia="Times New Roman" w:hAnsi="Times New Roman"/>
          <w:sz w:val="20"/>
          <w:szCs w:val="20"/>
          <w:color w:val="auto"/>
        </w:rPr>
      </w:pPr>
    </w:p>
    <w:p>
      <w:pPr>
        <w:ind w:left="1500" w:right="219" w:hanging="643"/>
        <w:spacing w:after="0" w:line="269" w:lineRule="auto"/>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for the violator of up to three (3) times the amount of profit gained or loss avoided;</w:t>
      </w:r>
    </w:p>
    <w:p>
      <w:pPr>
        <w:spacing w:after="0" w:line="159" w:lineRule="exact"/>
        <w:rPr>
          <w:rFonts w:ascii="Times New Roman" w:cs="Times New Roman" w:eastAsia="Times New Roman" w:hAnsi="Times New Roman"/>
          <w:sz w:val="20"/>
          <w:szCs w:val="20"/>
          <w:color w:val="auto"/>
        </w:rPr>
      </w:pPr>
    </w:p>
    <w:p>
      <w:pPr>
        <w:jc w:val="both"/>
        <w:ind w:left="1500" w:right="219" w:hanging="643"/>
        <w:spacing w:after="0" w:line="254" w:lineRule="auto"/>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for the employer or other controlling person of a violator (i.e., where the violator is an employee or other controlled person) of up to the greater of $1,000,000 or three (3) times the amount of profit gained or loss avoided by the violator;</w:t>
      </w:r>
    </w:p>
    <w:p>
      <w:pPr>
        <w:spacing w:after="0" w:line="174"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for individual violators of up to $5,000,000 ($25,000,000 for an entity);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271145</wp:posOffset>
            </wp:positionV>
            <wp:extent cx="534479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1">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8" w:name="page299"/>
    <w:bookmarkEnd w:id="298"/>
    <w:p>
      <w:pPr>
        <w:ind w:left="1500" w:hanging="643"/>
        <w:spacing w:after="0"/>
        <w:tabs>
          <w:tab w:leader="none" w:pos="1500"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 sentences of up to twenty (20) years.</w:t>
      </w:r>
    </w:p>
    <w:p>
      <w:pPr>
        <w:spacing w:after="0" w:line="21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also may be violated upon the occurrence of insider trading.</w:t>
      </w:r>
    </w:p>
    <w:p>
      <w:pPr>
        <w:spacing w:after="0" w:line="176" w:lineRule="exact"/>
        <w:rPr>
          <w:sz w:val="20"/>
          <w:szCs w:val="20"/>
          <w:color w:val="auto"/>
        </w:rPr>
      </w:pPr>
    </w:p>
    <w:p>
      <w:pPr>
        <w:ind w:left="1500" w:hanging="643"/>
        <w:spacing w:after="0"/>
        <w:tabs>
          <w:tab w:leader="none" w:pos="1500"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xamples of</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Examples of insider trading cases include actions brought against: corporate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8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The following are illustrations of insider trading violations. These illustrations are hypothetical and are not comprehensive, and, consequently, are not intended to reflect the actual activities or business of the Company or any other entity.</w:t>
      </w:r>
    </w:p>
    <w:p>
      <w:pPr>
        <w:spacing w:after="0" w:line="1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Trading by Insider</w:t>
      </w:r>
    </w:p>
    <w:p>
      <w:pPr>
        <w:spacing w:after="0" w:line="220" w:lineRule="exact"/>
        <w:rPr>
          <w:sz w:val="20"/>
          <w:szCs w:val="20"/>
          <w:color w:val="auto"/>
        </w:rPr>
      </w:pPr>
    </w:p>
    <w:p>
      <w:pPr>
        <w:jc w:val="both"/>
        <w:ind w:left="860" w:right="219"/>
        <w:spacing w:after="0" w:line="260" w:lineRule="auto"/>
        <w:rPr>
          <w:sz w:val="20"/>
          <w:szCs w:val="20"/>
          <w:color w:val="auto"/>
        </w:rPr>
      </w:pPr>
      <w:r>
        <w:rPr>
          <w:rFonts w:ascii="Times New Roman" w:cs="Times New Roman" w:eastAsia="Times New Roman" w:hAnsi="Times New Roman"/>
          <w:sz w:val="19"/>
          <w:szCs w:val="19"/>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w:t>
      </w:r>
    </w:p>
    <w:p>
      <w:pPr>
        <w:jc w:val="both"/>
        <w:ind w:left="860" w:right="219" w:hanging="3"/>
        <w:spacing w:after="0" w:line="241" w:lineRule="auto"/>
        <w:tabs>
          <w:tab w:leader="none" w:pos="1169"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times the amount of all profits. The officer also is subject to, among other things, criminal prosecution, including up to $5,000,000 in additional fines and twenty (20) years in jail. Depending upon the circumstances, X Corporation and the individual to whom the officer reports also could be liable as controlling persons.</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Trading by Tippee</w:t>
      </w:r>
    </w:p>
    <w:p>
      <w:pPr>
        <w:spacing w:after="0" w:line="220" w:lineRule="exact"/>
        <w:rPr>
          <w:sz w:val="20"/>
          <w:szCs w:val="20"/>
          <w:color w:val="auto"/>
        </w:rPr>
      </w:pPr>
    </w:p>
    <w:p>
      <w:pPr>
        <w:jc w:val="both"/>
        <w:ind w:left="860" w:right="219"/>
        <w:spacing w:after="0" w:line="245" w:lineRule="auto"/>
        <w:rPr>
          <w:sz w:val="20"/>
          <w:szCs w:val="20"/>
          <w:color w:val="auto"/>
        </w:rPr>
      </w:pPr>
      <w:r>
        <w:rPr>
          <w:rFonts w:ascii="Times New Roman" w:cs="Times New Roman" w:eastAsia="Times New Roman" w:hAnsi="Times New Roman"/>
          <w:sz w:val="20"/>
          <w:szCs w:val="20"/>
          <w:color w:val="auto"/>
        </w:rPr>
        <w:t>An officer of X Corporation tells a friend that X Corporation is about to publicly announce that it has concluded an agreement for a major acquisition. This tip causes the friend to purchase X Corporation’s stock in advance of the announcement. The officer is jointly liable with his friend for all of the friend’s profits and each is liable for all penalties of up to three (3) times the amount of the friend’s profits. In addition, the officer and his friend are subject to, among other things, criminal prosecution, as described above.</w:t>
      </w:r>
    </w:p>
    <w:p>
      <w:pPr>
        <w:spacing w:after="0" w:line="180" w:lineRule="exact"/>
        <w:rPr>
          <w:sz w:val="20"/>
          <w:szCs w:val="20"/>
          <w:color w:val="auto"/>
        </w:rPr>
      </w:pPr>
    </w:p>
    <w:p>
      <w:pPr>
        <w:ind w:left="1500" w:hanging="643"/>
        <w:spacing w:after="0"/>
        <w:tabs>
          <w:tab w:leader="none" w:pos="1500"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eporting</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equirements</w:t>
      </w:r>
      <w:r>
        <w:rPr>
          <w:rFonts w:ascii="Times New Roman" w:cs="Times New Roman" w:eastAsia="Times New Roman" w:hAnsi="Times New Roman"/>
          <w:sz w:val="20"/>
          <w:szCs w:val="20"/>
          <w:b w:val="1"/>
          <w:bCs w:val="1"/>
          <w:color w:val="auto"/>
        </w:rPr>
        <w:t>, S</w:t>
      </w:r>
      <w:r>
        <w:rPr>
          <w:rFonts w:ascii="Times New Roman" w:cs="Times New Roman" w:eastAsia="Times New Roman" w:hAnsi="Times New Roman"/>
          <w:sz w:val="13"/>
          <w:szCs w:val="13"/>
          <w:b w:val="1"/>
          <w:bCs w:val="1"/>
          <w:color w:val="auto"/>
        </w:rPr>
        <w:t>hort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wing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rofits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hort</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ales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ind w:left="1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19"/>
          <w:szCs w:val="19"/>
          <w:b w:val="1"/>
          <w:bCs w:val="1"/>
          <w:color w:val="auto"/>
        </w:rPr>
        <w:t>Reporting Obligations Under Section 16(a)--SEC Forms 3, 4 and 5.</w:t>
      </w:r>
    </w:p>
    <w:p>
      <w:pPr>
        <w:spacing w:after="0" w:line="216" w:lineRule="exact"/>
        <w:rPr>
          <w:sz w:val="20"/>
          <w:szCs w:val="20"/>
          <w:color w:val="auto"/>
        </w:rPr>
      </w:pPr>
    </w:p>
    <w:p>
      <w:pPr>
        <w:jc w:val="both"/>
        <w:ind w:left="1500" w:right="219"/>
        <w:spacing w:after="0" w:line="244" w:lineRule="auto"/>
        <w:rPr>
          <w:sz w:val="20"/>
          <w:szCs w:val="20"/>
          <w:color w:val="auto"/>
        </w:rPr>
      </w:pPr>
      <w:r>
        <w:rPr>
          <w:rFonts w:ascii="Times New Roman" w:cs="Times New Roman" w:eastAsia="Times New Roman" w:hAnsi="Times New Roman"/>
          <w:sz w:val="20"/>
          <w:szCs w:val="20"/>
          <w:color w:val="auto"/>
        </w:rPr>
        <w:t xml:space="preserve">Section 16(a) of the Securities Exchange Act of 1934, as amended (the </w:t>
      </w:r>
      <w:r>
        <w:rPr>
          <w:rFonts w:ascii="Times New Roman" w:cs="Times New Roman" w:eastAsia="Times New Roman" w:hAnsi="Times New Roman"/>
          <w:sz w:val="20"/>
          <w:szCs w:val="20"/>
          <w:b w:val="1"/>
          <w:bCs w:val="1"/>
          <w:i w:val="1"/>
          <w:iCs w:val="1"/>
          <w:color w:val="auto"/>
        </w:rPr>
        <w:t>“1934 Act”</w:t>
      </w:r>
      <w:r>
        <w:rPr>
          <w:rFonts w:ascii="Times New Roman" w:cs="Times New Roman" w:eastAsia="Times New Roman" w:hAnsi="Times New Roman"/>
          <w:sz w:val="20"/>
          <w:szCs w:val="20"/>
          <w:color w:val="auto"/>
        </w:rPr>
        <w:t xml:space="preserve">), generally requires all officers, directors and 10% stockholders, within ten (10) days after the insider becomes an officer, director or 10% stockholder (such person a </w:t>
      </w:r>
      <w:r>
        <w:rPr>
          <w:rFonts w:ascii="Times New Roman" w:cs="Times New Roman" w:eastAsia="Times New Roman" w:hAnsi="Times New Roman"/>
          <w:sz w:val="20"/>
          <w:szCs w:val="20"/>
          <w:b w:val="1"/>
          <w:bCs w:val="1"/>
          <w:i w:val="1"/>
          <w:iCs w:val="1"/>
          <w:color w:val="auto"/>
        </w:rPr>
        <w:t>“Section 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reporting person”</w:t>
      </w:r>
      <w:r>
        <w:rPr>
          <w:rFonts w:ascii="Times New Roman" w:cs="Times New Roman" w:eastAsia="Times New Roman" w:hAnsi="Times New Roman"/>
          <w:sz w:val="20"/>
          <w:szCs w:val="20"/>
          <w:color w:val="auto"/>
        </w:rPr>
        <w:t>), to file with the SEC an “Initial Statement of Beneficial Ownership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on SEC Form 3 (</w:t>
      </w:r>
      <w:r>
        <w:rPr>
          <w:rFonts w:ascii="Times New Roman" w:cs="Times New Roman" w:eastAsia="Times New Roman" w:hAnsi="Times New Roman"/>
          <w:sz w:val="20"/>
          <w:szCs w:val="20"/>
          <w:b w:val="1"/>
          <w:bCs w:val="1"/>
          <w:i w:val="1"/>
          <w:iCs w:val="1"/>
          <w:color w:val="auto"/>
        </w:rPr>
        <w:t>“Form 3”</w:t>
      </w:r>
      <w:r>
        <w:rPr>
          <w:rFonts w:ascii="Times New Roman" w:cs="Times New Roman" w:eastAsia="Times New Roman" w:hAnsi="Times New Roman"/>
          <w:sz w:val="20"/>
          <w:szCs w:val="20"/>
          <w:color w:val="auto"/>
        </w:rPr>
        <w:t xml:space="preserve">) listing the amount of the Company’s Common Stock (the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stock options and warrants which the insider beneficially owns. Following the initial filing on Form 3, every change in the beneficial ownership of the Company’s Stock, stock options and warrants must be reported on SEC Form 4 (</w:t>
      </w:r>
      <w:r>
        <w:rPr>
          <w:rFonts w:ascii="Times New Roman" w:cs="Times New Roman" w:eastAsia="Times New Roman" w:hAnsi="Times New Roman"/>
          <w:sz w:val="20"/>
          <w:szCs w:val="20"/>
          <w:b w:val="1"/>
          <w:bCs w:val="1"/>
          <w:i w:val="1"/>
          <w:iCs w:val="1"/>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53447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3">
                      <a:extLst>
                        <a:ext uri="{28A0092B-C50C-407E-A947-70E740481C1C}"/>
                      </a:extLst>
                    </a:blip>
                    <a:srcRect/>
                    <a:stretch>
                      <a:fillRect/>
                    </a:stretch>
                  </pic:blipFill>
                  <pic:spPr bwMode="auto">
                    <a:xfrm>
                      <a:off x="0" y="0"/>
                      <a:ext cx="5344795" cy="8255"/>
                    </a:xfrm>
                    <a:prstGeom prst="rect">
                      <a:avLst/>
                    </a:prstGeom>
                    <a:noFill/>
                  </pic:spPr>
                </pic:pic>
              </a:graphicData>
            </a:graphic>
          </wp:anchor>
        </w:drawing>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9" w:name="page300"/>
    <w:bookmarkEnd w:id="299"/>
    <w:p>
      <w:pPr>
        <w:jc w:val="both"/>
        <w:ind w:left="1500" w:right="219"/>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4”</w:t>
      </w:r>
      <w:r>
        <w:rPr>
          <w:rFonts w:ascii="Times New Roman" w:cs="Times New Roman" w:eastAsia="Times New Roman" w:hAnsi="Times New Roman"/>
          <w:sz w:val="20"/>
          <w:szCs w:val="20"/>
          <w:color w:val="auto"/>
        </w:rPr>
        <w:t>) within two (2) business days after the date on which such change occurs or in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cases on SEC Form 5 (</w:t>
      </w:r>
      <w:r>
        <w:rPr>
          <w:rFonts w:ascii="Times New Roman" w:cs="Times New Roman" w:eastAsia="Times New Roman" w:hAnsi="Times New Roman"/>
          <w:sz w:val="20"/>
          <w:szCs w:val="20"/>
          <w:b w:val="1"/>
          <w:bCs w:val="1"/>
          <w:i w:val="1"/>
          <w:iCs w:val="1"/>
          <w:color w:val="auto"/>
        </w:rPr>
        <w:t>“Form 5”</w:t>
      </w:r>
      <w:r>
        <w:rPr>
          <w:rFonts w:ascii="Times New Roman" w:cs="Times New Roman" w:eastAsia="Times New Roman" w:hAnsi="Times New Roman"/>
          <w:sz w:val="20"/>
          <w:szCs w:val="20"/>
          <w:color w:val="auto"/>
        </w:rPr>
        <w:t>) within forty-five (45) days after fiscal year end. Form 4 must be filed even if, as a result of balancing transactions, there has been no net change in holdings. In deciding the filing deadline for purposes of filing Form 4, the trade date rather than the settlement date is ordinarily determinative.</w:t>
      </w:r>
    </w:p>
    <w:p>
      <w:pPr>
        <w:spacing w:after="0" w:line="184" w:lineRule="exact"/>
        <w:rPr>
          <w:sz w:val="20"/>
          <w:szCs w:val="20"/>
          <w:color w:val="auto"/>
        </w:rPr>
      </w:pPr>
    </w:p>
    <w:p>
      <w:pPr>
        <w:jc w:val="both"/>
        <w:ind w:left="1500" w:right="219"/>
        <w:spacing w:after="0" w:line="243" w:lineRule="auto"/>
        <w:rPr>
          <w:sz w:val="20"/>
          <w:szCs w:val="20"/>
          <w:color w:val="auto"/>
        </w:rPr>
      </w:pPr>
      <w:r>
        <w:rPr>
          <w:rFonts w:ascii="Times New Roman" w:cs="Times New Roman" w:eastAsia="Times New Roman" w:hAnsi="Times New Roman"/>
          <w:sz w:val="20"/>
          <w:szCs w:val="20"/>
          <w:color w:val="auto"/>
        </w:rPr>
        <w:t>Special rules apply in certain situations. If any officer or director purchases or sells any of the Company’s Stock within six (6) months after the event which required him or her to file Form 3, the Form 4 filed with respect to that purchase or sale must also report any other purchases or sales he or she made within the preceding six (6) months which were not previously reported. Similarly, if an officer or director purchases or sells any of the Company’s Stock within six (6) months after his or her termination from such position, the transaction must be reported on Form 4 if he or she made any purchase or sale within the preceding six (6) months and prior to termination.</w:t>
      </w:r>
    </w:p>
    <w:p>
      <w:pPr>
        <w:spacing w:after="0" w:line="185" w:lineRule="exact"/>
        <w:rPr>
          <w:sz w:val="20"/>
          <w:szCs w:val="20"/>
          <w:color w:val="auto"/>
        </w:rPr>
      </w:pPr>
    </w:p>
    <w:p>
      <w:pPr>
        <w:ind w:left="2160" w:hanging="655"/>
        <w:spacing w:after="0"/>
        <w:tabs>
          <w:tab w:leader="none" w:pos="2160" w:val="left"/>
        </w:tabs>
        <w:numPr>
          <w:ilvl w:val="0"/>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 of Profits Under Section 16(b).</w:t>
      </w:r>
    </w:p>
    <w:p>
      <w:pPr>
        <w:spacing w:after="0" w:line="220" w:lineRule="exact"/>
        <w:rPr>
          <w:sz w:val="20"/>
          <w:szCs w:val="20"/>
          <w:color w:val="auto"/>
        </w:rPr>
      </w:pPr>
    </w:p>
    <w:p>
      <w:pPr>
        <w:jc w:val="both"/>
        <w:ind w:left="1500" w:right="219"/>
        <w:spacing w:after="0" w:line="244" w:lineRule="auto"/>
        <w:rPr>
          <w:sz w:val="20"/>
          <w:szCs w:val="20"/>
          <w:color w:val="auto"/>
        </w:rPr>
      </w:pPr>
      <w:r>
        <w:rPr>
          <w:rFonts w:ascii="Times New Roman" w:cs="Times New Roman" w:eastAsia="Times New Roman" w:hAnsi="Times New Roman"/>
          <w:sz w:val="20"/>
          <w:szCs w:val="20"/>
          <w:color w:val="auto"/>
        </w:rPr>
        <w:t>For the purpose of preventing the unfair use of information which may have been obtained by an insider, any profits realized by any Section 16 reporting person from any “purchase” and “sale” of the Company’s Stock during a six (6) month period, so called “short-swing profits,” may be recovered by the Company. When such a purchase and sale occurs, good faith is no defense. The Section 16 reporting person is liable even if compelled to sell for personal reasons, and even if the sale takes place after full disclosure and without the use of any inside information.</w:t>
      </w:r>
    </w:p>
    <w:p>
      <w:pPr>
        <w:spacing w:after="0" w:line="186" w:lineRule="exact"/>
        <w:rPr>
          <w:sz w:val="20"/>
          <w:szCs w:val="20"/>
          <w:color w:val="auto"/>
        </w:rPr>
      </w:pPr>
    </w:p>
    <w:p>
      <w:pPr>
        <w:jc w:val="both"/>
        <w:ind w:left="1500" w:right="219"/>
        <w:spacing w:after="0" w:line="241" w:lineRule="auto"/>
        <w:rPr>
          <w:sz w:val="20"/>
          <w:szCs w:val="20"/>
          <w:color w:val="auto"/>
        </w:rPr>
      </w:pPr>
      <w:r>
        <w:rPr>
          <w:rFonts w:ascii="Times New Roman" w:cs="Times New Roman" w:eastAsia="Times New Roman" w:hAnsi="Times New Roman"/>
          <w:sz w:val="20"/>
          <w:szCs w:val="20"/>
          <w:color w:val="auto"/>
        </w:rPr>
        <w:t>The liability of a Section 16 reporting person under Section 16(b) of the 1934 Act is only to the Company itself. The Company, however, cannot waive its right to short-swing profits, and any Company stockholder can bring suit in the name of the Company. In this connection it must be remembered that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(2) years after the date the profit was realized. However, if the Section 16 reporting person fails to file a report of the transaction under Section 16(a), as required, the two (2) year limitation period does not begin to run until after the transactions giving rise to the profit have been disclosed. Failure to report transactions and late filing of reports require separate disclosure in the Company’s proxy statements.</w:t>
      </w:r>
    </w:p>
    <w:p>
      <w:pPr>
        <w:spacing w:after="0" w:line="196" w:lineRule="exact"/>
        <w:rPr>
          <w:sz w:val="20"/>
          <w:szCs w:val="20"/>
          <w:color w:val="auto"/>
        </w:rPr>
      </w:pPr>
    </w:p>
    <w:p>
      <w:pPr>
        <w:jc w:val="both"/>
        <w:ind w:left="1500" w:right="219"/>
        <w:spacing w:after="0" w:line="246" w:lineRule="auto"/>
        <w:rPr>
          <w:sz w:val="20"/>
          <w:szCs w:val="20"/>
          <w:color w:val="auto"/>
        </w:rPr>
      </w:pPr>
      <w:r>
        <w:rPr>
          <w:rFonts w:ascii="Times New Roman" w:cs="Times New Roman" w:eastAsia="Times New Roman" w:hAnsi="Times New Roman"/>
          <w:sz w:val="20"/>
          <w:szCs w:val="20"/>
          <w:color w:val="auto"/>
        </w:rPr>
        <w:t xml:space="preserve">Officers and directors should consult the attached “Short-Swing Profit Rule Section 16(b) Checklist” attached hereto as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in addition to consulting with the Compliance Officer prior to engaging in any transactions involving the Company’s securities (see </w:t>
      </w:r>
      <w:r>
        <w:rPr>
          <w:rFonts w:ascii="Times New Roman" w:cs="Times New Roman" w:eastAsia="Times New Roman" w:hAnsi="Times New Roman"/>
          <w:sz w:val="20"/>
          <w:szCs w:val="20"/>
          <w:u w:val="single" w:color="auto"/>
          <w:color w:val="auto"/>
        </w:rPr>
        <w:t>Section IV(A)</w:t>
      </w:r>
      <w:r>
        <w:rPr>
          <w:rFonts w:ascii="Times New Roman" w:cs="Times New Roman" w:eastAsia="Times New Roman" w:hAnsi="Times New Roman"/>
          <w:sz w:val="20"/>
          <w:szCs w:val="20"/>
          <w:color w:val="auto"/>
        </w:rPr>
        <w:t xml:space="preserve"> below), including without limitation, the Company’s Stock, stock options or warrants.</w:t>
      </w:r>
    </w:p>
    <w:p>
      <w:pPr>
        <w:spacing w:after="0" w:line="181" w:lineRule="exact"/>
        <w:rPr>
          <w:sz w:val="20"/>
          <w:szCs w:val="20"/>
          <w:color w:val="auto"/>
        </w:rPr>
      </w:pPr>
    </w:p>
    <w:p>
      <w:pPr>
        <w:ind w:left="2160" w:hanging="655"/>
        <w:spacing w:after="0"/>
        <w:tabs>
          <w:tab w:leader="none" w:pos="2160" w:val="left"/>
        </w:tabs>
        <w:numPr>
          <w:ilvl w:val="0"/>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Short Sales Prohibited Under Section 16(c).</w:t>
      </w:r>
    </w:p>
    <w:p>
      <w:pPr>
        <w:spacing w:after="0" w:line="220" w:lineRule="exact"/>
        <w:rPr>
          <w:sz w:val="20"/>
          <w:szCs w:val="20"/>
          <w:color w:val="auto"/>
        </w:rPr>
      </w:pPr>
    </w:p>
    <w:p>
      <w:pPr>
        <w:jc w:val="both"/>
        <w:ind w:left="1500" w:right="219"/>
        <w:spacing w:after="0" w:line="254" w:lineRule="auto"/>
        <w:rPr>
          <w:sz w:val="20"/>
          <w:szCs w:val="20"/>
          <w:color w:val="auto"/>
        </w:rPr>
      </w:pPr>
      <w:r>
        <w:rPr>
          <w:rFonts w:ascii="Times New Roman" w:cs="Times New Roman" w:eastAsia="Times New Roman" w:hAnsi="Times New Roman"/>
          <w:sz w:val="20"/>
          <w:szCs w:val="20"/>
          <w:color w:val="auto"/>
        </w:rPr>
        <w:t>Section 16(c) of the 1934 Act absolutely prohibits insiders from making short sales of the Company’s Stock, i.e., sales of shares which the insider does not own at the time of sale or sales of the Company’s Stock against which the insider does not deliver the shares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107950</wp:posOffset>
            </wp:positionV>
            <wp:extent cx="534479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5">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00" w:name="page301"/>
    <w:bookmarkEnd w:id="300"/>
    <w:p>
      <w:pPr>
        <w:jc w:val="both"/>
        <w:ind w:left="1500" w:right="219"/>
        <w:spacing w:after="0" w:line="254" w:lineRule="auto"/>
        <w:rPr>
          <w:sz w:val="20"/>
          <w:szCs w:val="20"/>
          <w:color w:val="auto"/>
        </w:rPr>
      </w:pPr>
      <w:r>
        <w:rPr>
          <w:rFonts w:ascii="Times New Roman" w:cs="Times New Roman" w:eastAsia="Times New Roman" w:hAnsi="Times New Roman"/>
          <w:sz w:val="20"/>
          <w:szCs w:val="20"/>
          <w:color w:val="auto"/>
        </w:rPr>
        <w:t>twenty (20) days after the sale. Under certain circumstances, the purchase or sale of put or call options, or the writing of such options, can result in a violation of Section 16(c). Insiders violating Section 16(c) face criminal liability.</w:t>
      </w:r>
    </w:p>
    <w:p>
      <w:pPr>
        <w:spacing w:after="0" w:line="174" w:lineRule="exact"/>
        <w:rPr>
          <w:sz w:val="20"/>
          <w:szCs w:val="20"/>
          <w:color w:val="auto"/>
        </w:rPr>
      </w:pPr>
    </w:p>
    <w:p>
      <w:pPr>
        <w:jc w:val="both"/>
        <w:ind w:left="1500" w:right="219"/>
        <w:spacing w:after="0" w:line="269" w:lineRule="auto"/>
        <w:rPr>
          <w:sz w:val="20"/>
          <w:szCs w:val="20"/>
          <w:color w:val="auto"/>
        </w:rPr>
      </w:pPr>
      <w:r>
        <w:rPr>
          <w:rFonts w:ascii="Times New Roman" w:cs="Times New Roman" w:eastAsia="Times New Roman" w:hAnsi="Times New Roman"/>
          <w:sz w:val="20"/>
          <w:szCs w:val="20"/>
          <w:color w:val="auto"/>
        </w:rPr>
        <w:t>The Compliance Officer should be consulted if you have any questions regarding reporting obligations, short-swing profits or short sales under Section 16.</w:t>
      </w:r>
    </w:p>
    <w:p>
      <w:pPr>
        <w:spacing w:after="0" w:line="155" w:lineRule="exact"/>
        <w:rPr>
          <w:sz w:val="20"/>
          <w:szCs w:val="20"/>
          <w:color w:val="auto"/>
        </w:rPr>
      </w:pPr>
    </w:p>
    <w:p>
      <w:pPr>
        <w:ind w:left="1500" w:hanging="643"/>
        <w:spacing w:after="0"/>
        <w:tabs>
          <w:tab w:leader="none" w:pos="1500" w:val="left"/>
        </w:tabs>
        <w:numPr>
          <w:ilvl w:val="0"/>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rohibition of</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ecords</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alsifications and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alse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tatements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Section 13(b)(2) of the 1934 Act requires companies subject to the 1934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85"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STATEMENT OF PROCEDURES PREVENTING INSIDER TRADING.</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The following procedures have been established, and will be maintained and enforced, by the Company to prevent insider trading. Every officer, director, employee and Subject Contractor is required to follow these procedures.</w:t>
      </w:r>
    </w:p>
    <w:p>
      <w:pPr>
        <w:spacing w:after="0" w:line="170" w:lineRule="exact"/>
        <w:rPr>
          <w:sz w:val="20"/>
          <w:szCs w:val="20"/>
          <w:color w:val="auto"/>
        </w:rPr>
      </w:pPr>
    </w:p>
    <w:p>
      <w:pPr>
        <w:ind w:left="1500" w:hanging="643"/>
        <w:spacing w:after="0"/>
        <w:tabs>
          <w:tab w:leader="none" w:pos="1500"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dentifying</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aterial</w:t>
      </w:r>
      <w:r>
        <w:rPr>
          <w:rFonts w:ascii="Times New Roman" w:cs="Times New Roman" w:eastAsia="Times New Roman" w:hAnsi="Times New Roman"/>
          <w:sz w:val="20"/>
          <w:szCs w:val="20"/>
          <w:b w:val="1"/>
          <w:bCs w:val="1"/>
          <w:color w:val="auto"/>
        </w:rPr>
        <w:t>, 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ublic</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9"/>
          <w:szCs w:val="19"/>
          <w:color w:val="auto"/>
        </w:rPr>
        <w:t xml:space="preserve">Prior to directly or indirectly trading any security of the Company, every officer, director, employee and Subject Contractor is required to contact the Compliance Officer (as part of the pre-clearance procedure discussed below in </w:t>
      </w:r>
      <w:r>
        <w:rPr>
          <w:rFonts w:ascii="Times New Roman" w:cs="Times New Roman" w:eastAsia="Times New Roman" w:hAnsi="Times New Roman"/>
          <w:sz w:val="19"/>
          <w:szCs w:val="19"/>
          <w:u w:val="single" w:color="auto"/>
          <w:color w:val="auto"/>
        </w:rPr>
        <w:t>Section IV.D</w:t>
      </w:r>
      <w:r>
        <w:rPr>
          <w:rFonts w:ascii="Times New Roman" w:cs="Times New Roman" w:eastAsia="Times New Roman" w:hAnsi="Times New Roman"/>
          <w:sz w:val="19"/>
          <w:szCs w:val="19"/>
          <w:color w:val="auto"/>
        </w:rPr>
        <w:t>) and make an initial determination whether the Company and/or such officer, director, employee and/or Subject Contractor is in possession of material, non-public information relating to such security. In making such assessment, the explanations of “material” and “non-public” information set forth above should be of assistance. If after consulting with the Compliance Officer it is determined that the Company and/or such officer, director, employee or Subject Contractor is in possession of material, non-public information, there can be no trading of such security.</w:t>
      </w:r>
    </w:p>
    <w:p>
      <w:pPr>
        <w:spacing w:after="0" w:line="169" w:lineRule="exact"/>
        <w:rPr>
          <w:sz w:val="20"/>
          <w:szCs w:val="20"/>
          <w:color w:val="auto"/>
        </w:rPr>
      </w:pPr>
    </w:p>
    <w:p>
      <w:pPr>
        <w:ind w:left="1500" w:hanging="643"/>
        <w:spacing w:after="0"/>
        <w:tabs>
          <w:tab w:leader="none" w:pos="1500" w:val="left"/>
        </w:tabs>
        <w:numPr>
          <w:ilvl w:val="0"/>
          <w:numId w:val="3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elating to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ind w:left="1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19"/>
          <w:szCs w:val="19"/>
          <w:b w:val="1"/>
          <w:bCs w:val="1"/>
          <w:color w:val="auto"/>
        </w:rPr>
        <w:t>Access to Information.</w:t>
      </w:r>
    </w:p>
    <w:p>
      <w:pPr>
        <w:spacing w:after="0" w:line="220" w:lineRule="exact"/>
        <w:rPr>
          <w:sz w:val="20"/>
          <w:szCs w:val="20"/>
          <w:color w:val="auto"/>
        </w:rPr>
      </w:pPr>
    </w:p>
    <w:p>
      <w:pPr>
        <w:jc w:val="both"/>
        <w:ind w:left="1500" w:right="219"/>
        <w:spacing w:after="0" w:line="243" w:lineRule="auto"/>
        <w:rPr>
          <w:sz w:val="20"/>
          <w:szCs w:val="20"/>
          <w:color w:val="auto"/>
        </w:rPr>
      </w:pPr>
      <w:r>
        <w:rPr>
          <w:rFonts w:ascii="Times New Roman" w:cs="Times New Roman" w:eastAsia="Times New Roman" w:hAnsi="Times New Roman"/>
          <w:sz w:val="20"/>
          <w:szCs w:val="20"/>
          <w:color w:val="auto"/>
        </w:rPr>
        <w:t>Access to material, non-public information about the Company, including the Company’s business, clinical data or analyses, interactions with regulatory authorities, pending publication of scientific/clinical data or results, earnings or prospects, should be limited to officers, directors, employees and Subject Contractors of the Company on a need-to-know basis. In addition, such information should not be communicated to anyone outside the Company under any circumstances (absent prior approval by the Compliance Officer and execution of an appropriate confidentiality agreement) or to anyone within the Company other than on a need-to-know basis.</w:t>
      </w:r>
    </w:p>
    <w:p>
      <w:pPr>
        <w:spacing w:after="0" w:line="189" w:lineRule="exact"/>
        <w:rPr>
          <w:sz w:val="20"/>
          <w:szCs w:val="20"/>
          <w:color w:val="auto"/>
        </w:rPr>
      </w:pPr>
    </w:p>
    <w:p>
      <w:pPr>
        <w:jc w:val="both"/>
        <w:ind w:left="1500" w:right="219"/>
        <w:spacing w:after="0" w:line="269" w:lineRule="auto"/>
        <w:rPr>
          <w:sz w:val="20"/>
          <w:szCs w:val="20"/>
          <w:color w:val="auto"/>
        </w:rPr>
      </w:pPr>
      <w:r>
        <w:rPr>
          <w:rFonts w:ascii="Times New Roman" w:cs="Times New Roman" w:eastAsia="Times New Roman" w:hAnsi="Times New Roman"/>
          <w:sz w:val="20"/>
          <w:szCs w:val="20"/>
          <w:color w:val="auto"/>
        </w:rPr>
        <w:t>In communicating material, non-public information to employees of the Company, all officers, directors, employees and Subject Contractors must take care to emphasize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534479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7">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1" w:name="page302"/>
    <w:bookmarkEnd w:id="301"/>
    <w:p>
      <w:pPr>
        <w:ind w:left="1500" w:right="219"/>
        <w:spacing w:after="0" w:line="269" w:lineRule="auto"/>
        <w:rPr>
          <w:sz w:val="20"/>
          <w:szCs w:val="20"/>
          <w:color w:val="auto"/>
        </w:rPr>
      </w:pPr>
      <w:r>
        <w:rPr>
          <w:rFonts w:ascii="Times New Roman" w:cs="Times New Roman" w:eastAsia="Times New Roman" w:hAnsi="Times New Roman"/>
          <w:sz w:val="20"/>
          <w:szCs w:val="20"/>
          <w:color w:val="auto"/>
        </w:rPr>
        <w:t>need for confidential treatment of such information and adherence to the Company’s policies with regard to confidential information.</w:t>
      </w:r>
    </w:p>
    <w:p>
      <w:pPr>
        <w:spacing w:after="0" w:line="155" w:lineRule="exact"/>
        <w:rPr>
          <w:sz w:val="20"/>
          <w:szCs w:val="20"/>
          <w:color w:val="auto"/>
        </w:rPr>
      </w:pPr>
    </w:p>
    <w:p>
      <w:pPr>
        <w:ind w:left="2160" w:hanging="655"/>
        <w:spacing w:after="0"/>
        <w:tabs>
          <w:tab w:leader="none" w:pos="2160" w:val="left"/>
        </w:tabs>
        <w:numPr>
          <w:ilvl w:val="0"/>
          <w:numId w:val="3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Inquiries from Third Parties.</w:t>
      </w:r>
    </w:p>
    <w:p>
      <w:pPr>
        <w:spacing w:after="0" w:line="220" w:lineRule="exact"/>
        <w:rPr>
          <w:sz w:val="20"/>
          <w:szCs w:val="20"/>
          <w:color w:val="auto"/>
        </w:rPr>
      </w:pPr>
    </w:p>
    <w:p>
      <w:pPr>
        <w:ind w:left="1500" w:right="239"/>
        <w:spacing w:after="0" w:line="269" w:lineRule="auto"/>
        <w:rPr>
          <w:sz w:val="20"/>
          <w:szCs w:val="20"/>
          <w:color w:val="auto"/>
        </w:rPr>
      </w:pPr>
      <w:r>
        <w:rPr>
          <w:rFonts w:ascii="Times New Roman" w:cs="Times New Roman" w:eastAsia="Times New Roman" w:hAnsi="Times New Roman"/>
          <w:sz w:val="20"/>
          <w:szCs w:val="20"/>
          <w:color w:val="auto"/>
        </w:rPr>
        <w:t>Inquiries from third parties, such as industry analysts or members of the media, about the Company should be directed to the Compliance Officer or his/her designee.</w:t>
      </w:r>
    </w:p>
    <w:p>
      <w:pPr>
        <w:spacing w:after="0" w:line="155" w:lineRule="exact"/>
        <w:rPr>
          <w:sz w:val="20"/>
          <w:szCs w:val="20"/>
          <w:color w:val="auto"/>
        </w:rPr>
      </w:pPr>
    </w:p>
    <w:p>
      <w:pPr>
        <w:ind w:left="1500" w:hanging="643"/>
        <w:spacing w:after="0"/>
        <w:tabs>
          <w:tab w:leader="none" w:pos="1500" w:val="left"/>
        </w:tabs>
        <w:numPr>
          <w:ilvl w:val="0"/>
          <w:numId w:val="3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3"/>
          <w:szCs w:val="13"/>
          <w:b w:val="1"/>
          <w:bCs w:val="1"/>
          <w:color w:val="auto"/>
        </w:rPr>
        <w:t>imitations 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ccess to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The following procedures are designed to maintain confidentiality with respect to the Company’s information, business operations and activities.</w:t>
      </w:r>
    </w:p>
    <w:p>
      <w:pPr>
        <w:spacing w:after="0" w:line="159" w:lineRule="exact"/>
        <w:rPr>
          <w:sz w:val="20"/>
          <w:szCs w:val="20"/>
          <w:color w:val="auto"/>
        </w:rPr>
      </w:pPr>
    </w:p>
    <w:p>
      <w:pPr>
        <w:jc w:val="both"/>
        <w:ind w:left="2160" w:right="219" w:hanging="655"/>
        <w:spacing w:after="0" w:line="254" w:lineRule="auto"/>
        <w:tabs>
          <w:tab w:leader="none" w:pos="2160" w:val="left"/>
        </w:tabs>
        <w:numPr>
          <w:ilvl w:val="1"/>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officers, directors, employees and Subject Contractors should take all steps and precautions necessary to restrict access to, and secure, material, non-public information by, among other things:</w:t>
      </w:r>
    </w:p>
    <w:p>
      <w:pPr>
        <w:spacing w:after="0" w:line="174" w:lineRule="exact"/>
        <w:rPr>
          <w:rFonts w:ascii="Times New Roman" w:cs="Times New Roman" w:eastAsia="Times New Roman" w:hAnsi="Times New Roman"/>
          <w:sz w:val="20"/>
          <w:szCs w:val="20"/>
          <w:b w:val="1"/>
          <w:bCs w:val="1"/>
          <w:color w:val="auto"/>
        </w:rPr>
      </w:pPr>
    </w:p>
    <w:p>
      <w:pPr>
        <w:ind w:left="2800" w:hanging="647"/>
        <w:spacing w:after="0"/>
        <w:tabs>
          <w:tab w:leader="none" w:pos="2800"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confidentiality of Company related information;</w:t>
      </w:r>
    </w:p>
    <w:p>
      <w:pPr>
        <w:spacing w:after="0" w:line="215" w:lineRule="exact"/>
        <w:rPr>
          <w:rFonts w:ascii="Times New Roman" w:cs="Times New Roman" w:eastAsia="Times New Roman" w:hAnsi="Times New Roman"/>
          <w:sz w:val="20"/>
          <w:szCs w:val="20"/>
          <w:color w:val="auto"/>
        </w:rPr>
      </w:pPr>
    </w:p>
    <w:p>
      <w:pPr>
        <w:jc w:val="both"/>
        <w:ind w:left="2800" w:right="219" w:hanging="647"/>
        <w:spacing w:after="0" w:line="249" w:lineRule="auto"/>
        <w:tabs>
          <w:tab w:leader="none" w:pos="2800"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79" w:lineRule="exact"/>
        <w:rPr>
          <w:rFonts w:ascii="Times New Roman" w:cs="Times New Roman" w:eastAsia="Times New Roman" w:hAnsi="Times New Roman"/>
          <w:sz w:val="20"/>
          <w:szCs w:val="20"/>
          <w:color w:val="auto"/>
        </w:rPr>
      </w:pPr>
    </w:p>
    <w:p>
      <w:pPr>
        <w:jc w:val="both"/>
        <w:ind w:left="2800" w:right="219" w:hanging="647"/>
        <w:spacing w:after="0" w:line="249" w:lineRule="auto"/>
        <w:tabs>
          <w:tab w:leader="none" w:pos="2800"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79" w:lineRule="exact"/>
        <w:rPr>
          <w:rFonts w:ascii="Times New Roman" w:cs="Times New Roman" w:eastAsia="Times New Roman" w:hAnsi="Times New Roman"/>
          <w:sz w:val="20"/>
          <w:szCs w:val="20"/>
          <w:color w:val="auto"/>
        </w:rPr>
      </w:pPr>
    </w:p>
    <w:p>
      <w:pPr>
        <w:jc w:val="both"/>
        <w:ind w:left="2800" w:right="219" w:hanging="647"/>
        <w:spacing w:after="0" w:line="254" w:lineRule="auto"/>
        <w:tabs>
          <w:tab w:leader="none" w:pos="2800"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removing and cleaning up all confidential documents and other materials from conference rooms following the conclusion of any meetings;</w:t>
      </w:r>
    </w:p>
    <w:p>
      <w:pPr>
        <w:spacing w:after="0" w:line="174" w:lineRule="exact"/>
        <w:rPr>
          <w:rFonts w:ascii="Times New Roman" w:cs="Times New Roman" w:eastAsia="Times New Roman" w:hAnsi="Times New Roman"/>
          <w:sz w:val="20"/>
          <w:szCs w:val="20"/>
          <w:color w:val="auto"/>
        </w:rPr>
      </w:pPr>
    </w:p>
    <w:p>
      <w:pPr>
        <w:jc w:val="both"/>
        <w:ind w:left="2800" w:right="219" w:hanging="647"/>
        <w:spacing w:after="0" w:line="254" w:lineRule="auto"/>
        <w:tabs>
          <w:tab w:leader="none" w:pos="2800"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Disposing of all confidential documents and other papers, after there is no longer any business or other legally required need, through shredders when appropriate;</w:t>
      </w:r>
    </w:p>
    <w:p>
      <w:pPr>
        <w:spacing w:after="0" w:line="174" w:lineRule="exact"/>
        <w:rPr>
          <w:rFonts w:ascii="Times New Roman" w:cs="Times New Roman" w:eastAsia="Times New Roman" w:hAnsi="Times New Roman"/>
          <w:sz w:val="20"/>
          <w:szCs w:val="20"/>
          <w:color w:val="auto"/>
        </w:rPr>
      </w:pPr>
    </w:p>
    <w:p>
      <w:pPr>
        <w:ind w:left="2800" w:right="219" w:hanging="647"/>
        <w:spacing w:after="0" w:line="269" w:lineRule="auto"/>
        <w:tabs>
          <w:tab w:leader="none" w:pos="2800"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areas likely to contain confidential documents or material, nonpublic­ information; and</w:t>
      </w:r>
    </w:p>
    <w:p>
      <w:pPr>
        <w:spacing w:after="0" w:line="159" w:lineRule="exact"/>
        <w:rPr>
          <w:rFonts w:ascii="Times New Roman" w:cs="Times New Roman" w:eastAsia="Times New Roman" w:hAnsi="Times New Roman"/>
          <w:sz w:val="20"/>
          <w:szCs w:val="20"/>
          <w:color w:val="auto"/>
        </w:rPr>
      </w:pPr>
    </w:p>
    <w:p>
      <w:pPr>
        <w:jc w:val="both"/>
        <w:ind w:left="2800" w:right="219" w:hanging="647"/>
        <w:spacing w:after="0" w:line="254" w:lineRule="auto"/>
        <w:tabs>
          <w:tab w:leader="none" w:pos="2800" w:val="left"/>
        </w:tabs>
        <w:numPr>
          <w:ilvl w:val="2"/>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the discussion of material, non-public information in places where the information could be overheard by others, such as in elevators, restrooms, hallways, restaurants, airplanes or taxicabs.</w:t>
      </w:r>
    </w:p>
    <w:p>
      <w:pPr>
        <w:spacing w:after="0" w:line="174" w:lineRule="exact"/>
        <w:rPr>
          <w:rFonts w:ascii="Times New Roman" w:cs="Times New Roman" w:eastAsia="Times New Roman" w:hAnsi="Times New Roman"/>
          <w:sz w:val="20"/>
          <w:szCs w:val="20"/>
          <w:color w:val="auto"/>
        </w:rPr>
      </w:pPr>
    </w:p>
    <w:p>
      <w:pPr>
        <w:jc w:val="both"/>
        <w:ind w:left="2160" w:right="239" w:hanging="655"/>
        <w:spacing w:after="0" w:line="254" w:lineRule="auto"/>
        <w:tabs>
          <w:tab w:leader="none" w:pos="2160" w:val="left"/>
        </w:tabs>
        <w:numPr>
          <w:ilvl w:val="1"/>
          <w:numId w:val="3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Personnel involved with material, non-public information, to the extent feasible, should conduct their business and activities in areas separate from other Company activities.</w:t>
      </w:r>
    </w:p>
    <w:p>
      <w:pPr>
        <w:spacing w:after="0" w:line="170"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3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re</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learance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rades   by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fficers</w:t>
      </w:r>
      <w:r>
        <w:rPr>
          <w:rFonts w:ascii="Times New Roman" w:cs="Times New Roman" w:eastAsia="Times New Roman" w:hAnsi="Times New Roman"/>
          <w:sz w:val="20"/>
          <w:szCs w:val="20"/>
          <w:b w:val="1"/>
          <w:bCs w:val="1"/>
          <w:color w:val="auto"/>
        </w:rPr>
        <w:t>,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E</w:t>
      </w:r>
      <w:r>
        <w:rPr>
          <w:rFonts w:ascii="Times New Roman" w:cs="Times New Roman" w:eastAsia="Times New Roman" w:hAnsi="Times New Roman"/>
          <w:sz w:val="13"/>
          <w:szCs w:val="13"/>
          <w:b w:val="1"/>
          <w:bCs w:val="1"/>
          <w:color w:val="auto"/>
        </w:rPr>
        <w:t>mployees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w:t>
      </w:r>
    </w:p>
    <w:p>
      <w:pPr>
        <w:spacing w:after="0" w:line="32" w:lineRule="exact"/>
        <w:rPr>
          <w:rFonts w:ascii="Times New Roman" w:cs="Times New Roman" w:eastAsia="Times New Roman" w:hAnsi="Times New Roman"/>
          <w:sz w:val="20"/>
          <w:szCs w:val="20"/>
          <w:b w:val="1"/>
          <w:bCs w:val="1"/>
          <w:color w:val="auto"/>
        </w:rPr>
      </w:pPr>
    </w:p>
    <w:p>
      <w:pPr>
        <w:ind w:left="2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ontractors</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253365</wp:posOffset>
            </wp:positionV>
            <wp:extent cx="53447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9">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2" w:name="page303"/>
    <w:bookmarkEnd w:id="302"/>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To provide assistance in preventing inadvertent violations of applicable securities laws and to avoid the appearance of impropriety in connection with the purchase and sale of the Company securities, except as set forth in the paragraph below, all transactions in Company securities (including without limitation, acquisitions and dispositions of the Company’s Stock, the exercise of stock options, the sale of the Company’s Stock issued upon the exercise of stock options or the vesting of restricted stock units or restricted stock and the sale of the Company’s Stock purchased under the ESPP) by officers, directors, employees and Subject Contractors must be pre-cleared by the Compliance Officer. </w:t>
      </w:r>
      <w:r>
        <w:rPr>
          <w:rFonts w:ascii="Times New Roman" w:cs="Times New Roman" w:eastAsia="Times New Roman" w:hAnsi="Times New Roman"/>
          <w:sz w:val="20"/>
          <w:szCs w:val="20"/>
          <w:b w:val="1"/>
          <w:bCs w:val="1"/>
          <w:u w:val="single" w:color="auto"/>
          <w:color w:val="auto"/>
        </w:rPr>
        <w:t>A request for pre-clearance should be submitted to the Compliance Officer at least two (2) business days in advance of the proposed transaction.</w:t>
      </w:r>
    </w:p>
    <w:p>
      <w:pPr>
        <w:spacing w:after="0" w:line="18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Additionally, except as set forth in </w:t>
      </w:r>
      <w:r>
        <w:rPr>
          <w:rFonts w:ascii="Times New Roman" w:cs="Times New Roman" w:eastAsia="Times New Roman" w:hAnsi="Times New Roman"/>
          <w:sz w:val="20"/>
          <w:szCs w:val="20"/>
          <w:u w:val="single" w:color="auto"/>
          <w:color w:val="auto"/>
        </w:rPr>
        <w:t>Section II.D</w:t>
      </w:r>
      <w:r>
        <w:rPr>
          <w:rFonts w:ascii="Times New Roman" w:cs="Times New Roman" w:eastAsia="Times New Roman" w:hAnsi="Times New Roman"/>
          <w:sz w:val="20"/>
          <w:szCs w:val="20"/>
          <w:color w:val="auto"/>
        </w:rPr>
        <w:t xml:space="preserve">. above, neither the Company nor any of its officers, directors, employees or Subject Contractors may trade in any securities of the Company during the Black-Out Period, unless authorized by the Compliance Officer. Also, please consult the “Insider Trading Reminders” attached hereto as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The requirement for pre-clearance as set forth in the above paragraph does not apply to the following transactions:</w:t>
      </w:r>
    </w:p>
    <w:p>
      <w:pPr>
        <w:spacing w:after="0" w:line="159" w:lineRule="exact"/>
        <w:rPr>
          <w:sz w:val="20"/>
          <w:szCs w:val="20"/>
          <w:color w:val="auto"/>
        </w:rPr>
      </w:pPr>
    </w:p>
    <w:p>
      <w:pPr>
        <w:ind w:left="1500" w:hanging="643"/>
        <w:spacing w:after="0"/>
        <w:tabs>
          <w:tab w:leader="none" w:pos="150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vesting of restricted stock units or restricted stock;</w:t>
      </w:r>
    </w:p>
    <w:p>
      <w:pPr>
        <w:spacing w:after="0" w:line="215" w:lineRule="exact"/>
        <w:rPr>
          <w:rFonts w:ascii="Times New Roman" w:cs="Times New Roman" w:eastAsia="Times New Roman" w:hAnsi="Times New Roman"/>
          <w:sz w:val="20"/>
          <w:szCs w:val="20"/>
          <w:color w:val="auto"/>
        </w:rPr>
      </w:pPr>
    </w:p>
    <w:p>
      <w:pPr>
        <w:ind w:left="1500" w:right="219" w:hanging="643"/>
        <w:spacing w:after="0" w:line="269" w:lineRule="auto"/>
        <w:tabs>
          <w:tab w:leader="none" w:pos="150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Stock under the ESPP on periodic designated dates in accordance with the ESPP;</w:t>
      </w:r>
    </w:p>
    <w:p>
      <w:pPr>
        <w:spacing w:after="0" w:line="159" w:lineRule="exact"/>
        <w:rPr>
          <w:rFonts w:ascii="Times New Roman" w:cs="Times New Roman" w:eastAsia="Times New Roman" w:hAnsi="Times New Roman"/>
          <w:sz w:val="20"/>
          <w:szCs w:val="20"/>
          <w:color w:val="auto"/>
        </w:rPr>
      </w:pPr>
    </w:p>
    <w:p>
      <w:pPr>
        <w:ind w:left="1500" w:right="219" w:hanging="643"/>
        <w:spacing w:after="0" w:line="269" w:lineRule="auto"/>
        <w:tabs>
          <w:tab w:leader="none" w:pos="150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Company Stock under on periodic designated dates in accordance with the Directors’ Compensation Policy; and</w:t>
      </w:r>
    </w:p>
    <w:p>
      <w:pPr>
        <w:spacing w:after="0" w:line="159" w:lineRule="exact"/>
        <w:rPr>
          <w:rFonts w:ascii="Times New Roman" w:cs="Times New Roman" w:eastAsia="Times New Roman" w:hAnsi="Times New Roman"/>
          <w:sz w:val="20"/>
          <w:szCs w:val="20"/>
          <w:color w:val="auto"/>
        </w:rPr>
      </w:pPr>
    </w:p>
    <w:p>
      <w:pPr>
        <w:ind w:left="1500" w:right="219" w:hanging="643"/>
        <w:spacing w:after="0" w:line="269" w:lineRule="auto"/>
        <w:tabs>
          <w:tab w:leader="none" w:pos="150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effected under an approved Rule 10b5-1 Trading Plan as set forth in </w:t>
      </w:r>
      <w:r>
        <w:rPr>
          <w:rFonts w:ascii="Times New Roman" w:cs="Times New Roman" w:eastAsia="Times New Roman" w:hAnsi="Times New Roman"/>
          <w:sz w:val="20"/>
          <w:szCs w:val="20"/>
          <w:u w:val="single" w:color="auto"/>
          <w:color w:val="auto"/>
        </w:rPr>
        <w:t>Section V</w:t>
      </w:r>
      <w:r>
        <w:rPr>
          <w:rFonts w:ascii="Times New Roman" w:cs="Times New Roman" w:eastAsia="Times New Roman" w:hAnsi="Times New Roman"/>
          <w:sz w:val="20"/>
          <w:szCs w:val="20"/>
          <w:color w:val="auto"/>
        </w:rPr>
        <w:t xml:space="preserve"> below.</w:t>
      </w:r>
    </w:p>
    <w:p>
      <w:pPr>
        <w:spacing w:after="0" w:line="159" w:lineRule="exact"/>
        <w:rPr>
          <w:sz w:val="20"/>
          <w:szCs w:val="20"/>
          <w:color w:val="auto"/>
        </w:rPr>
      </w:pPr>
    </w:p>
    <w:p>
      <w:pPr>
        <w:jc w:val="both"/>
        <w:ind w:left="200" w:right="179"/>
        <w:spacing w:after="0" w:line="245" w:lineRule="auto"/>
        <w:rPr>
          <w:sz w:val="20"/>
          <w:szCs w:val="20"/>
          <w:color w:val="auto"/>
        </w:rPr>
      </w:pPr>
      <w:r>
        <w:rPr>
          <w:rFonts w:ascii="Times New Roman" w:cs="Times New Roman" w:eastAsia="Times New Roman" w:hAnsi="Times New Roman"/>
          <w:sz w:val="20"/>
          <w:szCs w:val="20"/>
          <w:color w:val="auto"/>
        </w:rPr>
        <w:t xml:space="preserve">All other transactions in Company securities, including the exercise of stock options, are subject to pre-­ clearance as set forth in the above paragraph. A request for pre-clearance must be made in writing, preferably by submission of a completed Request for Pre-Clearance in the form of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to this Policy. Pre-cleared transactions should be effected promptly. Requestors are required to refresh the request for pre-clearance if a pre-cleared transaction is not effected within five business days after pre-clearance is received.</w:t>
      </w:r>
    </w:p>
    <w:p>
      <w:pPr>
        <w:spacing w:after="0" w:line="180" w:lineRule="exact"/>
        <w:rPr>
          <w:sz w:val="20"/>
          <w:szCs w:val="20"/>
          <w:color w:val="auto"/>
        </w:rPr>
      </w:pPr>
    </w:p>
    <w:p>
      <w:pPr>
        <w:ind w:left="200" w:right="239" w:firstLine="648"/>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Furthermore, requestors must immediately notify the Chief Compliance Officer following the execution of any transaction</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1500" w:hanging="643"/>
        <w:spacing w:after="0"/>
        <w:tabs>
          <w:tab w:leader="none" w:pos="1500" w:val="left"/>
        </w:tabs>
        <w:numPr>
          <w:ilvl w:val="0"/>
          <w:numId w:val="3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voidance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ertain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ggressive 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peculative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Officers, directors, employees and Subject Contractors, and their respective family members (including spouses, minor children or any other family members living in the same household), as applicable, may not directly or indirectly participate in transactions involving trading activities which by their aggressive or speculative nature cause or even give the appearance of an impropriety, such as, for example, those listed in Nos. 1 and 2 below. If you are uncertain whether your proposed transaction may implicate these prohibitions, please contact the Compliance Officer for pre-approval.</w:t>
      </w:r>
    </w:p>
    <w:p>
      <w:pPr>
        <w:spacing w:after="0" w:line="180" w:lineRule="exact"/>
        <w:rPr>
          <w:sz w:val="20"/>
          <w:szCs w:val="20"/>
          <w:color w:val="auto"/>
        </w:rPr>
      </w:pPr>
    </w:p>
    <w:p>
      <w:pPr>
        <w:jc w:val="both"/>
        <w:ind w:left="2160" w:right="219" w:hanging="655"/>
        <w:spacing w:after="0" w:line="256" w:lineRule="auto"/>
        <w:tabs>
          <w:tab w:leader="none" w:pos="2160" w:val="left"/>
        </w:tabs>
        <w:numPr>
          <w:ilvl w:val="0"/>
          <w:numId w:val="3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PROHIBITION OF SPECULATIVE TRADING/HEDGING. </w:t>
      </w:r>
      <w:r>
        <w:rPr>
          <w:rFonts w:ascii="Times New Roman" w:cs="Times New Roman" w:eastAsia="Times New Roman" w:hAnsi="Times New Roman"/>
          <w:sz w:val="20"/>
          <w:szCs w:val="20"/>
          <w:color w:val="auto"/>
        </w:rPr>
        <w:t>All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employees and Subject Contractors are prohibited from engaging in short sales; transactions in put or call options, hedging or monetization transactions;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243840</wp:posOffset>
            </wp:positionV>
            <wp:extent cx="53447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1">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3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2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3" w:name="page304"/>
    <w:bookmarkEnd w:id="303"/>
    <w:p>
      <w:pPr>
        <w:ind w:left="2160" w:right="239"/>
        <w:spacing w:after="0" w:line="269" w:lineRule="auto"/>
        <w:rPr>
          <w:sz w:val="20"/>
          <w:szCs w:val="20"/>
          <w:color w:val="auto"/>
        </w:rPr>
      </w:pPr>
      <w:r>
        <w:rPr>
          <w:rFonts w:ascii="Times New Roman" w:cs="Times New Roman" w:eastAsia="Times New Roman" w:hAnsi="Times New Roman"/>
          <w:sz w:val="20"/>
          <w:szCs w:val="20"/>
          <w:color w:val="auto"/>
        </w:rPr>
        <w:t>other inherently speculative transactions with respect to the securities of the Company at any time.</w:t>
      </w:r>
    </w:p>
    <w:p>
      <w:pPr>
        <w:spacing w:after="0" w:line="155" w:lineRule="exact"/>
        <w:rPr>
          <w:sz w:val="20"/>
          <w:szCs w:val="20"/>
          <w:color w:val="auto"/>
        </w:rPr>
      </w:pPr>
    </w:p>
    <w:p>
      <w:pPr>
        <w:jc w:val="both"/>
        <w:ind w:left="2160" w:right="239" w:hanging="655"/>
        <w:spacing w:after="0" w:line="250" w:lineRule="auto"/>
        <w:tabs>
          <w:tab w:leader="none" w:pos="2160" w:val="left"/>
        </w:tabs>
        <w:numPr>
          <w:ilvl w:val="2"/>
          <w:numId w:val="3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PROHIBITION ON PLEDGING. </w:t>
      </w:r>
      <w:r>
        <w:rPr>
          <w:rFonts w:ascii="Times New Roman" w:cs="Times New Roman" w:eastAsia="Times New Roman" w:hAnsi="Times New Roman"/>
          <w:sz w:val="20"/>
          <w:szCs w:val="20"/>
          <w:color w:val="auto"/>
        </w:rPr>
        <w:t>All directors, officers, employees and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Contractors are prohibited from holding any securities of the Company in a margin account or otherwise pledging any securities of the Company as collateral for any loan.</w:t>
      </w:r>
    </w:p>
    <w:p>
      <w:pPr>
        <w:spacing w:after="0" w:line="175" w:lineRule="exact"/>
        <w:rPr>
          <w:rFonts w:ascii="Times New Roman" w:cs="Times New Roman" w:eastAsia="Times New Roman" w:hAnsi="Times New Roman"/>
          <w:sz w:val="20"/>
          <w:szCs w:val="20"/>
          <w:b w:val="1"/>
          <w:bCs w:val="1"/>
          <w:color w:val="auto"/>
        </w:rPr>
      </w:pPr>
    </w:p>
    <w:p>
      <w:pPr>
        <w:ind w:left="860" w:hanging="651"/>
        <w:spacing w:after="0"/>
        <w:tabs>
          <w:tab w:leader="none" w:pos="860" w:val="left"/>
        </w:tabs>
        <w:numPr>
          <w:ilvl w:val="0"/>
          <w:numId w:val="3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RULE 10B5-1 TRADING PLANS.</w:t>
      </w:r>
    </w:p>
    <w:p>
      <w:pPr>
        <w:spacing w:after="0" w:line="215"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A.O</w:t>
      </w:r>
      <w:r>
        <w:rPr>
          <w:rFonts w:ascii="Times New Roman" w:cs="Times New Roman" w:eastAsia="Times New Roman" w:hAnsi="Times New Roman"/>
          <w:sz w:val="13"/>
          <w:szCs w:val="13"/>
          <w:b w:val="1"/>
          <w:bCs w:val="1"/>
          <w:color w:val="auto"/>
        </w:rPr>
        <w:t>verview</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SEC Rule 10b5-1 under the 1934 Act (</w:t>
      </w:r>
      <w:r>
        <w:rPr>
          <w:rFonts w:ascii="Times New Roman" w:cs="Times New Roman" w:eastAsia="Times New Roman" w:hAnsi="Times New Roman"/>
          <w:sz w:val="20"/>
          <w:szCs w:val="20"/>
          <w:b w:val="1"/>
          <w:bCs w:val="1"/>
          <w:i w:val="1"/>
          <w:iCs w:val="1"/>
          <w:color w:val="auto"/>
        </w:rPr>
        <w:t>“Rule 10b5-1”</w:t>
      </w:r>
      <w:r>
        <w:rPr>
          <w:rFonts w:ascii="Times New Roman" w:cs="Times New Roman" w:eastAsia="Times New Roman" w:hAnsi="Times New Roman"/>
          <w:sz w:val="20"/>
          <w:szCs w:val="20"/>
          <w:color w:val="auto"/>
        </w:rPr>
        <w:t xml:space="preserve">) protects directors, officers and employees from insider trading liability under Rule 10b5-1 for transactions under a previously established contract, plan or instruction to trade the Company’s Stock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xml:space="preserve">) entered into in good faith (and acted on in good faith for the duration of the Trading Plan) and in accordance with the terms of Rule 10b5-1 and all applicable state laws and shall be exempt from the trading restrictions set forth in the Policy. The initiation of, and any modification to, any such Trading Plan will be deemed to be a transaction in the Company’s securities and such initiation or modification is subject to all limitations and prohibitions of transactions involving the Company’s securities. Each such Trading Plan, and any modification thereof, shall be submitted to and pre-approved by the Compliance Officer, or such other person as the Company’s Board of Directors may designate from time to time (the </w:t>
      </w:r>
      <w:r>
        <w:rPr>
          <w:rFonts w:ascii="Times New Roman" w:cs="Times New Roman" w:eastAsia="Times New Roman" w:hAnsi="Times New Roman"/>
          <w:sz w:val="20"/>
          <w:szCs w:val="20"/>
          <w:b w:val="1"/>
          <w:bCs w:val="1"/>
          <w:i w:val="1"/>
          <w:iCs w:val="1"/>
          <w:color w:val="auto"/>
        </w:rPr>
        <w:t>“Authorizing Officer”</w:t>
      </w:r>
      <w:r>
        <w:rPr>
          <w:rFonts w:ascii="Times New Roman" w:cs="Times New Roman" w:eastAsia="Times New Roman" w:hAnsi="Times New Roman"/>
          <w:sz w:val="20"/>
          <w:szCs w:val="20"/>
          <w:color w:val="auto"/>
        </w:rPr>
        <w:t>), who may impose such conditions on the implementation and operation of the Trading Plan as the Authorizing Officer deems necessary or advisable. Without limiting the generality of the foregoing, the Authorizing Officer may prescribe certain forms of Trading Plans to which each Trading Plan must conform. The Authorizing Officer may also require that Trading Plans be arranged with a specified broker.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9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Rule 10b5-1 presents an opportunity for insiders to establish arrangements to sell (or purchase) the Company’s Stock without the restrictions of windows and blackout periods even when there is undisclosed material information (subject to the insider not having material, non-public information at the time of adoption and the cooling-off period described below). A Trading Plan might also help reduce negative publicity that may result when key executives sell the Company’s Stock. Rule 10b5-1 only provides an “affirmative defense” in the event there is an insider-trading lawsuit. It does not prevent someone from bringing a lawsuit.</w:t>
      </w:r>
    </w:p>
    <w:p>
      <w:pPr>
        <w:spacing w:after="0" w:line="186"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A director, officer and employee may enter into a Trading Plan that outlines a pre-set plan for trading of the Company’s Stock only when he or she is not in possession of material, non-public information, and only during an open trading window period outside of the Black-Out Period and cooling-off period described below.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Section 16 filing coordinator to assist in the preparation and filing of a required Form 4. Form 4 and Form 5 filers must also indicate by checkbox if a reported transaction was made under a plan that is intended to satisfy the “affirmative defense” conditions of Rule 10b5-1(c) and the date of the adoption of such plan.</w:t>
      </w:r>
    </w:p>
    <w:p>
      <w:pPr>
        <w:spacing w:after="0" w:line="192"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From time to time, for legal or other reasons, the Authorizing Officer may direct that purchases and sales pursuant to any Trading Plan be suspended or discontinued. Failure to discontinue purchases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53447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3">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4" w:name="page305"/>
    <w:bookmarkEnd w:id="304"/>
    <w:p>
      <w:pPr>
        <w:jc w:val="both"/>
        <w:ind w:left="200" w:right="239"/>
        <w:spacing w:after="0" w:line="269" w:lineRule="auto"/>
        <w:rPr>
          <w:sz w:val="20"/>
          <w:szCs w:val="20"/>
          <w:color w:val="auto"/>
        </w:rPr>
      </w:pPr>
      <w:r>
        <w:rPr>
          <w:rFonts w:ascii="Times New Roman" w:cs="Times New Roman" w:eastAsia="Times New Roman" w:hAnsi="Times New Roman"/>
          <w:sz w:val="20"/>
          <w:szCs w:val="20"/>
          <w:color w:val="auto"/>
        </w:rPr>
        <w:t xml:space="preserve">sales as directed shall constitute a violation of the terms of this </w:t>
      </w:r>
      <w:r>
        <w:rPr>
          <w:rFonts w:ascii="Times New Roman" w:cs="Times New Roman" w:eastAsia="Times New Roman" w:hAnsi="Times New Roman"/>
          <w:sz w:val="20"/>
          <w:szCs w:val="20"/>
          <w:u w:val="single" w:color="auto"/>
          <w:color w:val="auto"/>
        </w:rPr>
        <w:t>Section V</w:t>
      </w:r>
      <w:r>
        <w:rPr>
          <w:rFonts w:ascii="Times New Roman" w:cs="Times New Roman" w:eastAsia="Times New Roman" w:hAnsi="Times New Roman"/>
          <w:sz w:val="20"/>
          <w:szCs w:val="20"/>
          <w:color w:val="auto"/>
        </w:rPr>
        <w:t xml:space="preserve"> and result in a loss of the exemption set forth herein.</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Prohibition Against Multiple, Overlapping Plans</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A director, officer or employee may only enter into one Trading Plan at a time.</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Director and Officer Representations</w:t>
      </w:r>
    </w:p>
    <w:p>
      <w:pPr>
        <w:spacing w:after="0" w:line="22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Directors and officers must include a representation in their Trading Plan certifying, at the time of the adoption of a new or modified Trading Plan, that: (1) they are not aware of material, non-public information about the Company or its securities; and (2) they are adopting the plan in good faith and not as part of a plan or scheme to evade the prohibitions of Rule 10b-5.</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Cooling-Off Period</w:t>
      </w:r>
    </w:p>
    <w:p>
      <w:pPr>
        <w:spacing w:after="0" w:line="22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Trades pursuant to a Trading Plan made by an executive officer or director may occur at any time, subject to the following waiting period, whichever is longer, (i) a 90 day waiting period after the adoption or material modification of the Trading Plan during which time no transactions under the Trading Plan can be made; or (ii) two business days following the Company’s disclosure of financial results in in a Form 10-Q, Form 10-K, or Form 8-K for the fiscal quarter during which the plan was adopted or materially modified (in any event, subject to a maximum waiting period of 120 days following a plan adoption or modification) before any trading can commence under the adopted or modified Trading Plan.</w:t>
      </w:r>
    </w:p>
    <w:p>
      <w:pPr>
        <w:spacing w:after="0" w:line="18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Trades pursuant to a Trading Plan made by employees that are non-executive officers may occur at any time, subject to a 30 day waiting period after the adoption or material modification of the Trading Plan, during which time no transactions under the Trading Plan can be made.</w:t>
      </w:r>
    </w:p>
    <w:p>
      <w:pPr>
        <w:spacing w:after="0" w:line="17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Trading Plan modifications that do not change the sales or purchase prices or price ranges, the amount of securities to be sold or purchased, or the timing of transactions under a Trading Plan (such as an adjustment for stock splits or a change in account information) will not trigger a new waiting period.</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Please review the following description of how a Trading Plan works.</w:t>
      </w:r>
    </w:p>
    <w:p>
      <w:pPr>
        <w:spacing w:after="0" w:line="22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Pursuant to Rule 10b5-1, an individual’s purchase or sale of securities will not be “on the basis of” material non-public information if:</w:t>
      </w:r>
    </w:p>
    <w:p>
      <w:pPr>
        <w:spacing w:after="0" w:line="159" w:lineRule="exact"/>
        <w:rPr>
          <w:sz w:val="20"/>
          <w:szCs w:val="20"/>
          <w:color w:val="auto"/>
        </w:rPr>
      </w:pPr>
    </w:p>
    <w:p>
      <w:pPr>
        <w:jc w:val="both"/>
        <w:ind w:left="1500" w:right="219" w:hanging="643"/>
        <w:spacing w:after="0" w:line="249" w:lineRule="auto"/>
        <w:tabs>
          <w:tab w:leader="none" w:pos="150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before becoming aware of the information, the individual enters into a binding contract to purchase or sell the securities, provides instructions to another person to sell the securities or adopts a written plan for trading the securities in good faith (i.e., the Trading Plan).</w:t>
      </w:r>
    </w:p>
    <w:p>
      <w:pPr>
        <w:spacing w:after="0" w:line="17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the Trading Plan must either:</w:t>
      </w:r>
    </w:p>
    <w:p>
      <w:pPr>
        <w:spacing w:after="0" w:line="215" w:lineRule="exact"/>
        <w:rPr>
          <w:rFonts w:ascii="Times New Roman" w:cs="Times New Roman" w:eastAsia="Times New Roman" w:hAnsi="Times New Roman"/>
          <w:sz w:val="20"/>
          <w:szCs w:val="20"/>
          <w:color w:val="auto"/>
        </w:rPr>
      </w:pPr>
    </w:p>
    <w:p>
      <w:pPr>
        <w:jc w:val="both"/>
        <w:ind w:left="2160" w:right="239" w:hanging="655"/>
        <w:spacing w:after="0" w:line="254" w:lineRule="auto"/>
        <w:tabs>
          <w:tab w:leader="none" w:pos="216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amount of securities to be purchased or sold, the price at which the securities are to be purchased or sold and the date on which the securities are to be purchased or sold;</w:t>
      </w:r>
    </w:p>
    <w:p>
      <w:pPr>
        <w:spacing w:after="0" w:line="174" w:lineRule="exact"/>
        <w:rPr>
          <w:rFonts w:ascii="Times New Roman" w:cs="Times New Roman" w:eastAsia="Times New Roman" w:hAnsi="Times New Roman"/>
          <w:sz w:val="20"/>
          <w:szCs w:val="20"/>
          <w:color w:val="auto"/>
        </w:rPr>
      </w:pPr>
    </w:p>
    <w:p>
      <w:pPr>
        <w:ind w:left="2160" w:right="219" w:hanging="655"/>
        <w:spacing w:after="0" w:line="269" w:lineRule="auto"/>
        <w:tabs>
          <w:tab w:leader="none" w:pos="2160"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a written formula or computer program for determining the amount, price and date of the transactions;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235585</wp:posOffset>
            </wp:positionV>
            <wp:extent cx="534479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5">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5" w:name="page306"/>
    <w:bookmarkEnd w:id="305"/>
    <w:p>
      <w:pPr>
        <w:ind w:left="2160" w:right="219" w:hanging="655"/>
        <w:spacing w:after="0" w:line="269" w:lineRule="auto"/>
        <w:tabs>
          <w:tab w:leader="none" w:pos="2160" w:val="left"/>
        </w:tabs>
        <w:numPr>
          <w:ilvl w:val="1"/>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the individual from exercising any subsequent influence over the purchase or sale of the Company’s Stock under the Trading Plan in question.</w:t>
      </w:r>
    </w:p>
    <w:p>
      <w:pPr>
        <w:spacing w:after="0" w:line="159" w:lineRule="exact"/>
        <w:rPr>
          <w:rFonts w:ascii="Times New Roman" w:cs="Times New Roman" w:eastAsia="Times New Roman" w:hAnsi="Times New Roman"/>
          <w:sz w:val="20"/>
          <w:szCs w:val="20"/>
          <w:color w:val="auto"/>
        </w:rPr>
      </w:pPr>
    </w:p>
    <w:p>
      <w:pPr>
        <w:jc w:val="both"/>
        <w:ind w:left="1500" w:right="219" w:hanging="643"/>
        <w:spacing w:after="0" w:line="295" w:lineRule="auto"/>
        <w:tabs>
          <w:tab w:leader="none" w:pos="1500" w:val="left"/>
        </w:tabs>
        <w:numPr>
          <w:ilvl w:val="0"/>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the purchase or sale must occur pursuant to the Trading Plan and the individual must not enter into a corresponding hedging transaction or alter or deviate from the Trading Plan.</w:t>
      </w:r>
    </w:p>
    <w:p>
      <w:pPr>
        <w:spacing w:after="0" w:line="134" w:lineRule="exact"/>
        <w:rPr>
          <w:sz w:val="20"/>
          <w:szCs w:val="20"/>
          <w:color w:val="auto"/>
        </w:rPr>
      </w:pPr>
    </w:p>
    <w:p>
      <w:pPr>
        <w:ind w:left="1500" w:hanging="643"/>
        <w:spacing w:after="0"/>
        <w:tabs>
          <w:tab w:leader="none" w:pos="1500" w:val="left"/>
        </w:tabs>
        <w:numPr>
          <w:ilvl w:val="0"/>
          <w:numId w:val="3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evocation</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mendments to</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Revocation of Trading Plans (which includes terminations of Trading Plans) should occur only in unusual circumstances, and the effectiveness of any revocation of a Trading Plan will be subject to the prior review and approval of the Authorizing Officer. If an individual revokes a Trading Plan, then the individual may not enter into a new Trading Plan until thirty (30) days after termination of the Trading Plan or such longer period as the Authorizing Officer may determine in his or her discretion. Such new Trading Plan can be executed only when the individual is not in possession of material non-public information, and during a trading window period outside of a Black-Out Period. In addition, transactions pursuant to such new Trading Plan will be subject to the respective waiting period.</w:t>
      </w:r>
    </w:p>
    <w:p>
      <w:pPr>
        <w:spacing w:after="0" w:line="189"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Each Trading Plan must contain provisions allowing the Company to revoke or suspend a Trading Plan. Circumstances under which Trading Plans may be revoked or suspended include the announcement of a merger or the occurrence of an event that would cause the transaction either to violate applicable law or to have an adverse effect on the Company. The Authorizing Officer or administrator of the Company’s stock plans is authorized to notify the applicable broker in such circumstances.</w:t>
      </w:r>
    </w:p>
    <w:p>
      <w:pPr>
        <w:spacing w:after="0" w:line="185"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Amendments to Trading Plans, which for these purposes would include any modifications to or voluntary suspensions of Trading Plans, should be made in only very limited circumstances and should be avoided if possible. Any amendment to a Trading Plan will be subject to the prior review and approval of the Authorizing Officer. Any amendment to a Trading Plan can be effected only when the individual is not in possession of material non-public information, and during a trading window period outside of a Black-Out Period. In addition, transactions pursuant to such amended Trading Plan will be subject to the respective waiting period (or such longer period as the Authorizing Officer may determine in his or her discretion) during which time no transactions under the amended Trading Plan can be made.</w:t>
      </w:r>
    </w:p>
    <w:p>
      <w:pPr>
        <w:spacing w:after="0" w:line="185" w:lineRule="exact"/>
        <w:rPr>
          <w:sz w:val="20"/>
          <w:szCs w:val="20"/>
          <w:color w:val="auto"/>
        </w:rPr>
      </w:pPr>
    </w:p>
    <w:p>
      <w:pPr>
        <w:ind w:left="1500" w:hanging="643"/>
        <w:spacing w:after="0"/>
        <w:tabs>
          <w:tab w:leader="none" w:pos="1500" w:val="left"/>
        </w:tabs>
        <w:numPr>
          <w:ilvl w:val="0"/>
          <w:numId w:val="3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iscretionary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Discretionary Trading Plans, where the discretion or control over trading is transferred to a broker, are permitted if (i) pre-approved by the Authorizing Officer, (ii) the officer, director, or employee may not exercise influence over the broker’s trading decisions and (iii) the broker may not be in possession of any Company material non-public information.</w:t>
      </w:r>
    </w:p>
    <w:p>
      <w:pPr>
        <w:spacing w:after="0" w:line="18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The Authorizing Officer of the Company must pre-approve any Trading Plan, arrangement or trading instructions, etc., involving potential sales or purchases of the Company’s Stock or stock option exercises, including but not limited to, blind trusts, or limit orders. The actual transactions effected pursuant to a pre-approved Trading Plan will not be subject to further pre-clearance for transactions in the Company’s Stock once the Trading Plan or other arrangement has been pre-approved.</w:t>
      </w:r>
    </w:p>
    <w:p>
      <w:pPr>
        <w:spacing w:after="0" w:line="181" w:lineRule="exact"/>
        <w:rPr>
          <w:sz w:val="20"/>
          <w:szCs w:val="20"/>
          <w:color w:val="auto"/>
        </w:rPr>
      </w:pPr>
    </w:p>
    <w:p>
      <w:pPr>
        <w:ind w:left="1500" w:hanging="643"/>
        <w:spacing w:after="0"/>
        <w:tabs>
          <w:tab w:leader="none" w:pos="1500" w:val="left"/>
        </w:tabs>
        <w:numPr>
          <w:ilvl w:val="0"/>
          <w:numId w:val="3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eporting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3"/>
          <w:szCs w:val="13"/>
          <w:b w:val="1"/>
          <w:bCs w:val="1"/>
          <w:color w:val="auto"/>
        </w:rPr>
        <w:t>if required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color w:val="auto"/>
        </w:rPr>
        <w:t>SEC Form 144 (</w:t>
      </w:r>
      <w:r>
        <w:rPr>
          <w:rFonts w:ascii="Times New Roman" w:cs="Times New Roman" w:eastAsia="Times New Roman" w:hAnsi="Times New Roman"/>
          <w:sz w:val="20"/>
          <w:szCs w:val="20"/>
          <w:b w:val="1"/>
          <w:bCs w:val="1"/>
          <w:i w:val="1"/>
          <w:iCs w:val="1"/>
          <w:color w:val="auto"/>
        </w:rPr>
        <w:t>“Form 144”</w:t>
      </w:r>
      <w:r>
        <w:rPr>
          <w:rFonts w:ascii="Times New Roman" w:cs="Times New Roman" w:eastAsia="Times New Roman" w:hAnsi="Times New Roman"/>
          <w:sz w:val="20"/>
          <w:szCs w:val="20"/>
          <w:color w:val="auto"/>
        </w:rPr>
        <w:t>) will be filled out and filed by the individual/brokerage firm in accordance with the existing rules regarding Form 144 filings. A footnote at the bottom of the Form 144 should indicate that the trades “are in accordance with a Trading Plan that complies with Rule 10b5-1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53447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7">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6" w:name="page307"/>
    <w:bookmarkEnd w:id="306"/>
    <w:p>
      <w:pPr>
        <w:ind w:left="200"/>
        <w:spacing w:after="0"/>
        <w:rPr>
          <w:sz w:val="20"/>
          <w:szCs w:val="20"/>
          <w:color w:val="auto"/>
        </w:rPr>
      </w:pPr>
      <w:r>
        <w:rPr>
          <w:rFonts w:ascii="Times New Roman" w:cs="Times New Roman" w:eastAsia="Times New Roman" w:hAnsi="Times New Roman"/>
          <w:sz w:val="20"/>
          <w:szCs w:val="20"/>
          <w:color w:val="auto"/>
        </w:rPr>
        <w:t>expires ______.” For Section 16 reporting persons, Form 4s should be filed before the end of the second</w:t>
      </w:r>
    </w:p>
    <w:p>
      <w:pPr>
        <w:spacing w:after="0" w:line="22" w:lineRule="exact"/>
        <w:rPr>
          <w:sz w:val="20"/>
          <w:szCs w:val="20"/>
          <w:color w:val="auto"/>
        </w:rPr>
      </w:pPr>
    </w:p>
    <w:p>
      <w:pPr>
        <w:jc w:val="both"/>
        <w:ind w:left="200" w:right="219"/>
        <w:spacing w:after="0" w:line="196"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20"/>
          <w:szCs w:val="20"/>
          <w:color w:val="auto"/>
        </w:rPr>
        <w:t>) business day following the date that the broker, dealer or plan administrator informs the individual that a transaction was executed, provided that the date of such notification is not later than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20"/>
          <w:szCs w:val="20"/>
          <w:color w:val="auto"/>
        </w:rPr>
        <w:t>) business day following the trade date. A similar footnote should be placed at the bottom of the Form 4 as outlined above.</w:t>
      </w:r>
    </w:p>
    <w:p>
      <w:pPr>
        <w:spacing w:after="0" w:line="188" w:lineRule="exact"/>
        <w:rPr>
          <w:sz w:val="20"/>
          <w:szCs w:val="20"/>
          <w:color w:val="auto"/>
        </w:rPr>
      </w:pPr>
    </w:p>
    <w:p>
      <w:pPr>
        <w:ind w:left="1500" w:hanging="643"/>
        <w:spacing w:after="0"/>
        <w:tabs>
          <w:tab w:leader="none" w:pos="1500" w:val="left"/>
        </w:tabs>
        <w:numPr>
          <w:ilvl w:val="0"/>
          <w:numId w:val="3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Cash exercise of stock options currently can be executed at any time. Same day sales exercises of stock options are subject to trading windows. However, the Company will permit same day sales under Trading Plans. Once a broker determines that the time is right to exercise the stock option and dispose of the shares in accordance with the Trading Plan, the broker will notify the Company in writing and the administrator of the Company’s stock plans will process the transaction. The insider should not be involved with this type of same day sale exercise.</w:t>
      </w:r>
    </w:p>
    <w:p>
      <w:pPr>
        <w:spacing w:after="0" w:line="180" w:lineRule="exact"/>
        <w:rPr>
          <w:sz w:val="20"/>
          <w:szCs w:val="20"/>
          <w:color w:val="auto"/>
        </w:rPr>
      </w:pPr>
    </w:p>
    <w:p>
      <w:pPr>
        <w:ind w:left="1500" w:hanging="643"/>
        <w:spacing w:after="0"/>
        <w:tabs>
          <w:tab w:leader="none" w:pos="1500" w:val="left"/>
        </w:tabs>
        <w:numPr>
          <w:ilvl w:val="0"/>
          <w:numId w:val="3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rades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utside of a</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During an open window, trades which differ from Trading Plan instructions that are already in place are allowed as long as the Trading Plan continues to be followed.</w:t>
      </w:r>
    </w:p>
    <w:p>
      <w:pPr>
        <w:spacing w:after="0" w:line="155" w:lineRule="exact"/>
        <w:rPr>
          <w:sz w:val="20"/>
          <w:szCs w:val="20"/>
          <w:color w:val="auto"/>
        </w:rPr>
      </w:pPr>
    </w:p>
    <w:p>
      <w:pPr>
        <w:ind w:left="200" w:right="21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The Trading Plans do not exempt the Section 16 reporting person from the Section 16 six (6) month short-swing profit rules or liability.</w:t>
      </w:r>
    </w:p>
    <w:p>
      <w:pPr>
        <w:spacing w:after="0" w:line="152" w:lineRule="exact"/>
        <w:rPr>
          <w:sz w:val="20"/>
          <w:szCs w:val="20"/>
          <w:color w:val="auto"/>
        </w:rPr>
      </w:pPr>
    </w:p>
    <w:p>
      <w:pPr>
        <w:ind w:left="1500" w:hanging="643"/>
        <w:spacing w:after="0"/>
        <w:tabs>
          <w:tab w:leader="none" w:pos="1500" w:val="left"/>
        </w:tabs>
        <w:numPr>
          <w:ilvl w:val="0"/>
          <w:numId w:val="3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isclosures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The Company will make quarterly disclosures regarding the adoption, material modification and termination of Trading Plans and certain other written trading arrangements by the Company’s directors and officers for the trading of its securities, including the material terms (other than the pricing terms) of such arrangements. The Company will also make an annual disclosure in its annual reports or in the annual meeting proxy statement whether it has adopted insider trading policies and procedures and include such policies in its Form 10-K. The Company will also provide certain tabular and narrative disclosures regarding awards of options close in time to the release of material nonpublic information and related policies and procedures. The Company may also make public announcements or respond to inquiries from the media as transactions are made under a Trading Plan.</w:t>
      </w:r>
    </w:p>
    <w:p>
      <w:pPr>
        <w:spacing w:after="0" w:line="182" w:lineRule="exact"/>
        <w:rPr>
          <w:sz w:val="20"/>
          <w:szCs w:val="20"/>
          <w:color w:val="auto"/>
        </w:rPr>
      </w:pPr>
    </w:p>
    <w:p>
      <w:pPr>
        <w:ind w:left="1500" w:hanging="643"/>
        <w:spacing w:after="0"/>
        <w:tabs>
          <w:tab w:leader="none" w:pos="1500" w:val="left"/>
        </w:tabs>
        <w:numPr>
          <w:ilvl w:val="0"/>
          <w:numId w:val="3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ledging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 to</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ecure</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argin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oans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Company does not permit officers or directors to pledge the Company’s Stock or securities as collateral to secure loans. Such pledges also cannot be carried out through a Trading Plan. The Trading Plan must be consistent with </w:t>
      </w:r>
      <w:r>
        <w:rPr>
          <w:rFonts w:ascii="Times New Roman" w:cs="Times New Roman" w:eastAsia="Times New Roman" w:hAnsi="Times New Roman"/>
          <w:sz w:val="20"/>
          <w:szCs w:val="20"/>
          <w:u w:val="single" w:color="auto"/>
          <w:color w:val="auto"/>
        </w:rPr>
        <w:t>Section IV E</w:t>
      </w:r>
      <w:r>
        <w:rPr>
          <w:rFonts w:ascii="Times New Roman" w:cs="Times New Roman" w:eastAsia="Times New Roman" w:hAnsi="Times New Roman"/>
          <w:sz w:val="20"/>
          <w:szCs w:val="20"/>
          <w:color w:val="auto"/>
        </w:rPr>
        <w:t xml:space="preserve"> above.</w:t>
      </w:r>
    </w:p>
    <w:p>
      <w:pPr>
        <w:spacing w:after="0" w:line="170" w:lineRule="exact"/>
        <w:rPr>
          <w:sz w:val="20"/>
          <w:szCs w:val="20"/>
          <w:color w:val="auto"/>
        </w:rPr>
      </w:pPr>
    </w:p>
    <w:p>
      <w:pPr>
        <w:ind w:left="1500" w:hanging="643"/>
        <w:spacing w:after="0"/>
        <w:tabs>
          <w:tab w:leader="none" w:pos="1500" w:val="left"/>
        </w:tabs>
        <w:numPr>
          <w:ilvl w:val="0"/>
          <w:numId w:val="3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ut and</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all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 other</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edging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Put and call options and other hedging transactions will not be permitted under a Trading Plan. In fact, such transactions outside of a Trading Plan may destroy the protection afforded by a Trading Plan. The Trading Plan must be consistent with </w:t>
      </w:r>
      <w:r>
        <w:rPr>
          <w:rFonts w:ascii="Times New Roman" w:cs="Times New Roman" w:eastAsia="Times New Roman" w:hAnsi="Times New Roman"/>
          <w:sz w:val="20"/>
          <w:szCs w:val="20"/>
          <w:u w:val="single" w:color="auto"/>
          <w:color w:val="auto"/>
        </w:rPr>
        <w:t>Section IV E</w:t>
      </w:r>
      <w:r>
        <w:rPr>
          <w:rFonts w:ascii="Times New Roman" w:cs="Times New Roman" w:eastAsia="Times New Roman" w:hAnsi="Times New Roman"/>
          <w:sz w:val="20"/>
          <w:szCs w:val="20"/>
          <w:color w:val="auto"/>
        </w:rPr>
        <w:t xml:space="preserve"> above.</w:t>
      </w:r>
    </w:p>
    <w:p>
      <w:pPr>
        <w:spacing w:after="0" w:line="170" w:lineRule="exact"/>
        <w:rPr>
          <w:sz w:val="20"/>
          <w:szCs w:val="20"/>
          <w:color w:val="auto"/>
        </w:rPr>
      </w:pPr>
    </w:p>
    <w:p>
      <w:pPr>
        <w:ind w:left="1500" w:hanging="643"/>
        <w:spacing w:after="0"/>
        <w:tabs>
          <w:tab w:leader="none" w:pos="1500" w:val="left"/>
        </w:tabs>
        <w:numPr>
          <w:ilvl w:val="0"/>
          <w:numId w:val="3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akes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recedence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In the event of any conflict between this Policy and any Trading Plan, this Policy shall control, to the extent the Trading Plan would permit activities otherwise prohibited by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235585</wp:posOffset>
            </wp:positionV>
            <wp:extent cx="53447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9">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7" w:name="page308"/>
    <w:bookmarkEnd w:id="307"/>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EXECUTION AND RETURN OF CERTIFICATION OF COMPLIANCE.</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After reading this policy statement all officers, directors, employees and Subject Contractors should execute and return to a Compliance Officer the applicable Certification of Compliance form attached hereto as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13"/>
          <w:szCs w:val="13"/>
          <w:u w:val="single" w:color="auto"/>
          <w:color w:val="auto"/>
        </w:rPr>
        <w:t>ttachment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Adopted: </w:t>
      </w:r>
      <w:r>
        <w:rPr>
          <w:rFonts w:ascii="Times New Roman" w:cs="Times New Roman" w:eastAsia="Times New Roman" w:hAnsi="Times New Roman"/>
          <w:sz w:val="20"/>
          <w:szCs w:val="20"/>
          <w:color w:val="auto"/>
        </w:rPr>
        <w:t>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565150</wp:posOffset>
            </wp:positionV>
            <wp:extent cx="53447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5344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08" w:name="page309"/>
    <w:bookmarkEnd w:id="308"/>
    <w:p>
      <w:pPr>
        <w:ind w:left="7560"/>
        <w:spacing w:after="0"/>
        <w:rPr>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ttachment</w:t>
      </w:r>
      <w:r>
        <w:rPr>
          <w:rFonts w:ascii="Times New Roman" w:cs="Times New Roman" w:eastAsia="Times New Roman" w:hAnsi="Times New Roman"/>
          <w:sz w:val="20"/>
          <w:szCs w:val="20"/>
          <w:b w:val="1"/>
          <w:bCs w:val="1"/>
          <w:u w:val="single" w:color="auto"/>
          <w:color w:val="auto"/>
        </w:rPr>
        <w:t xml:space="preserve">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SHORT-SWING PROFIT RULE SECTION 16(b) CHECKLIST</w:t>
      </w:r>
    </w:p>
    <w:p>
      <w:pPr>
        <w:spacing w:after="0" w:line="22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Note: ANY combination of PURCHASE AND SALE or SALE AND PURCHASE within six (6) months of each other results in a violation of Section 16(b), and the “profit” must be recovered by the Company. It makes no difference how long the shares being sold have been held or that you are an insider for only one of the two matching transactions. The highest priced sale will be matched with the lowest priced purchase within the six (6) month period.</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2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If a sale is to be made by an officer, director or 10% stockholder (or any family member living in the same household):</w:t>
      </w:r>
    </w:p>
    <w:p>
      <w:pPr>
        <w:spacing w:after="0" w:line="159" w:lineRule="exact"/>
        <w:rPr>
          <w:sz w:val="20"/>
          <w:szCs w:val="20"/>
          <w:color w:val="auto"/>
        </w:rPr>
      </w:pPr>
    </w:p>
    <w:p>
      <w:pPr>
        <w:ind w:left="1500" w:right="239" w:hanging="643"/>
        <w:spacing w:after="0" w:line="269" w:lineRule="auto"/>
        <w:tabs>
          <w:tab w:leader="none" w:pos="1500"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there been any purchases by the insider (or family members living in the same household) within the past six (6) months?</w:t>
      </w:r>
    </w:p>
    <w:p>
      <w:pPr>
        <w:spacing w:after="0" w:line="15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there been any stock option exercises within the past six (6) months?</w:t>
      </w:r>
    </w:p>
    <w:p>
      <w:pPr>
        <w:spacing w:after="0" w:line="215" w:lineRule="exact"/>
        <w:rPr>
          <w:rFonts w:ascii="Times New Roman" w:cs="Times New Roman" w:eastAsia="Times New Roman" w:hAnsi="Times New Roman"/>
          <w:sz w:val="20"/>
          <w:szCs w:val="20"/>
          <w:color w:val="auto"/>
        </w:rPr>
      </w:pPr>
    </w:p>
    <w:p>
      <w:pPr>
        <w:ind w:left="1500" w:right="239" w:hanging="643"/>
        <w:spacing w:after="0" w:line="269" w:lineRule="auto"/>
        <w:tabs>
          <w:tab w:leader="none" w:pos="1500"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any purchases (or stock option exercises) anticipated or required within the next six (6) months?</w:t>
      </w:r>
    </w:p>
    <w:p>
      <w:pPr>
        <w:spacing w:after="0" w:line="15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Form 4 been prepared?</w:t>
      </w:r>
    </w:p>
    <w:p>
      <w:pPr>
        <w:spacing w:after="0" w:line="216" w:lineRule="exact"/>
        <w:rPr>
          <w:sz w:val="20"/>
          <w:szCs w:val="20"/>
          <w:color w:val="auto"/>
        </w:rPr>
      </w:pPr>
    </w:p>
    <w:p>
      <w:pPr>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Note: If a sale is to be made by an affiliate of the Company and unregistered stock is to be sold, has a Form 144 been prepared and has the broker been reminded to sell pursuant to Rule 144?</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PURCHASES AND STOCK OPTION EXERCISES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If a purchase or stock option exercise for stock is to be made:</w:t>
      </w:r>
    </w:p>
    <w:p>
      <w:pPr>
        <w:spacing w:after="0" w:line="216" w:lineRule="exact"/>
        <w:rPr>
          <w:sz w:val="20"/>
          <w:szCs w:val="20"/>
          <w:color w:val="auto"/>
        </w:rPr>
      </w:pPr>
    </w:p>
    <w:p>
      <w:pPr>
        <w:ind w:left="1500" w:right="219" w:hanging="643"/>
        <w:spacing w:after="0" w:line="269" w:lineRule="auto"/>
        <w:tabs>
          <w:tab w:leader="none" w:pos="150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there been any sales by the insider (or family members living in the same household) within the past six (6) months?</w:t>
      </w:r>
    </w:p>
    <w:p>
      <w:pPr>
        <w:spacing w:after="0" w:line="159" w:lineRule="exact"/>
        <w:rPr>
          <w:rFonts w:ascii="Times New Roman" w:cs="Times New Roman" w:eastAsia="Times New Roman" w:hAnsi="Times New Roman"/>
          <w:sz w:val="20"/>
          <w:szCs w:val="20"/>
          <w:color w:val="auto"/>
        </w:rPr>
      </w:pPr>
    </w:p>
    <w:p>
      <w:pPr>
        <w:ind w:left="1500" w:right="239" w:hanging="643"/>
        <w:spacing w:after="0" w:line="269" w:lineRule="auto"/>
        <w:tabs>
          <w:tab w:leader="none" w:pos="150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any sales anticipated or required within the next six (6) months (such as tax- related or year-end transactions)?</w:t>
      </w:r>
    </w:p>
    <w:p>
      <w:pPr>
        <w:spacing w:after="0" w:line="159"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Form 4 been prepared?</w:t>
      </w:r>
    </w:p>
    <w:p>
      <w:pPr>
        <w:spacing w:after="0" w:line="212" w:lineRule="exact"/>
        <w:rPr>
          <w:sz w:val="20"/>
          <w:szCs w:val="20"/>
          <w:color w:val="auto"/>
        </w:rPr>
      </w:pPr>
    </w:p>
    <w:p>
      <w:pPr>
        <w:jc w:val="center"/>
        <w:ind w:left="1660" w:right="20"/>
        <w:spacing w:after="0" w:line="256" w:lineRule="auto"/>
        <w:rPr>
          <w:sz w:val="20"/>
          <w:szCs w:val="20"/>
          <w:color w:val="auto"/>
        </w:rPr>
      </w:pPr>
      <w:r>
        <w:rPr>
          <w:rFonts w:ascii="Times New Roman" w:cs="Times New Roman" w:eastAsia="Times New Roman" w:hAnsi="Times New Roman"/>
          <w:sz w:val="20"/>
          <w:szCs w:val="20"/>
          <w:b w:val="1"/>
          <w:bCs w:val="1"/>
          <w:color w:val="auto"/>
        </w:rPr>
        <w:t>BEFORE PROCEEDING WITH A PURCHASE OR SALE, CONSIDER WHETHER YOU ARE AWARE OF MATERIAL, NON-PUBLIC INFORMATION WHICH COULD AFFECT THE PRICE OF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106680</wp:posOffset>
            </wp:positionV>
            <wp:extent cx="53447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309" w:name="page310"/>
    <w:bookmarkEnd w:id="309"/>
    <w:p>
      <w:pPr>
        <w:jc w:val="right"/>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ttachment</w:t>
      </w:r>
      <w:r>
        <w:rPr>
          <w:rFonts w:ascii="Times New Roman" w:cs="Times New Roman" w:eastAsia="Times New Roman" w:hAnsi="Times New Roman"/>
          <w:sz w:val="20"/>
          <w:szCs w:val="20"/>
          <w:b w:val="1"/>
          <w:bCs w:val="1"/>
          <w:u w:val="single" w:color="auto"/>
          <w:color w:val="auto"/>
        </w:rPr>
        <w:t xml:space="preserve">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INSIDER TRADING REMINDERS</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Before engaging in any transaction in the Company’s securities, please read the following:</w:t>
      </w:r>
    </w:p>
    <w:p>
      <w:pPr>
        <w:spacing w:after="0" w:line="21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Both the federal securities laws and the Company’s policy prohibit transactions in the Company’s securities at a time when you may be in possession of material information about the Company which has not been publicly disclosed. This also applies to members of your household as well as all others whose transactions may be attributable to you.</w:t>
      </w:r>
    </w:p>
    <w:p>
      <w:pPr>
        <w:spacing w:after="0" w:line="18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Material information, in short, is any information which could affect the price of the securities. Either positive or negative information may be material. Once a public announcement has been made, you should wait until the information has been made available to the public for at least twenty-four (24) hours before engaging in any transaction.</w:t>
      </w:r>
    </w:p>
    <w:p>
      <w:pPr>
        <w:spacing w:after="0" w:line="18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II.D.</w:t>
      </w:r>
      <w:r>
        <w:rPr>
          <w:rFonts w:ascii="Times New Roman" w:cs="Times New Roman" w:eastAsia="Times New Roman" w:hAnsi="Times New Roman"/>
          <w:sz w:val="20"/>
          <w:szCs w:val="20"/>
          <w:color w:val="auto"/>
        </w:rPr>
        <w:t xml:space="preserve"> of our Insider Trading Compliance Policy and except for transactions effected under an approved Rule 10b5-1 Trading Plan as described in Section V of our Insider Trading Compliance Policy, </w:t>
      </w:r>
      <w:r>
        <w:rPr>
          <w:rFonts w:ascii="Times New Roman" w:cs="Times New Roman" w:eastAsia="Times New Roman" w:hAnsi="Times New Roman"/>
          <w:sz w:val="20"/>
          <w:szCs w:val="20"/>
          <w:b w:val="1"/>
          <w:bCs w:val="1"/>
          <w:color w:val="auto"/>
        </w:rPr>
        <w:t>neither the Company nor any of its officers, directors, employees or</w:t>
      </w:r>
    </w:p>
    <w:p>
      <w:pPr>
        <w:jc w:val="both"/>
        <w:ind w:left="200" w:right="219"/>
        <w:spacing w:after="0" w:line="241" w:lineRule="auto"/>
        <w:rPr>
          <w:sz w:val="20"/>
          <w:szCs w:val="20"/>
          <w:color w:val="auto"/>
        </w:rPr>
      </w:pPr>
      <w:r>
        <w:rPr>
          <w:rFonts w:ascii="Times New Roman" w:cs="Times New Roman" w:eastAsia="Times New Roman" w:hAnsi="Times New Roman"/>
          <w:sz w:val="20"/>
          <w:szCs w:val="20"/>
          <w:b w:val="1"/>
          <w:bCs w:val="1"/>
          <w:color w:val="auto"/>
        </w:rPr>
        <w:t>Subject Contractors may trade in any securities of the Company during the period beginning on the last trading day of the fiscal quarter and ending two (2) full trading days after the public release of earnings data or quarterly/annual report whether or not the Company or any of its officers, directors, employees or Subject Contractors is in possession of material, non-public information, unless authorized by the Compliance Officer.</w:t>
      </w:r>
    </w:p>
    <w:p>
      <w:pPr>
        <w:spacing w:after="0" w:line="183"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Important: All transactions by officers, directors, employees and Subject Contractors must be pre-cleared with the Compliance Officer, except as specifically noted in </w:t>
      </w:r>
      <w:r>
        <w:rPr>
          <w:rFonts w:ascii="Times New Roman" w:cs="Times New Roman" w:eastAsia="Times New Roman" w:hAnsi="Times New Roman"/>
          <w:sz w:val="20"/>
          <w:szCs w:val="20"/>
          <w:b w:val="1"/>
          <w:bCs w:val="1"/>
          <w:u w:val="single" w:color="auto"/>
          <w:color w:val="auto"/>
        </w:rPr>
        <w:t>Section IV.D.</w:t>
      </w:r>
      <w:r>
        <w:rPr>
          <w:rFonts w:ascii="Times New Roman" w:cs="Times New Roman" w:eastAsia="Times New Roman" w:hAnsi="Times New Roman"/>
          <w:sz w:val="20"/>
          <w:szCs w:val="20"/>
          <w:b w:val="1"/>
          <w:bCs w:val="1"/>
          <w:color w:val="auto"/>
        </w:rPr>
        <w:t xml:space="preserve"> of our Insider Trading Compliance Policy.</w:t>
      </w:r>
    </w:p>
    <w:p>
      <w:pPr>
        <w:spacing w:after="0" w:line="173"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For further information and guidance, please refer to our Insider Trading Compliance Policy and do not hesitate to contact the Compliance Officer.</w:t>
      </w:r>
    </w:p>
    <w:p>
      <w:pPr>
        <w:spacing w:after="0" w:line="155"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20"/>
          <w:szCs w:val="20"/>
          <w:b w:val="1"/>
          <w:bCs w:val="1"/>
          <w:color w:val="auto"/>
        </w:rPr>
        <w:t>ALL TRANSACTIONS IN METAVIA INC. SECURITIES BY OFFICERS, DIRECTORS, EMPLOYEES AND SUBJECT CONTRACTORS MUST BE PRE- CLEARED BY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243840</wp:posOffset>
            </wp:positionV>
            <wp:extent cx="53447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5">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3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10" w:name="page311"/>
    <w:bookmarkEnd w:id="310"/>
    <w:p>
      <w:pPr>
        <w:jc w:val="right"/>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ttachment</w:t>
      </w:r>
      <w:r>
        <w:rPr>
          <w:rFonts w:ascii="Times New Roman" w:cs="Times New Roman" w:eastAsia="Times New Roman" w:hAnsi="Times New Roman"/>
          <w:sz w:val="20"/>
          <w:szCs w:val="20"/>
          <w:b w:val="1"/>
          <w:bCs w:val="1"/>
          <w:u w:val="single" w:color="auto"/>
          <w:color w:val="auto"/>
        </w:rPr>
        <w:t xml:space="preserve"> 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Request for Pre-Clearance*</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For pre-clearance to transact in Company Securities.</w:t>
      </w:r>
    </w:p>
    <w:p>
      <w:pPr>
        <w:spacing w:after="0" w:line="203" w:lineRule="exact"/>
        <w:rPr>
          <w:sz w:val="20"/>
          <w:szCs w:val="20"/>
          <w:color w:val="auto"/>
        </w:rPr>
      </w:pPr>
    </w:p>
    <w:p>
      <w:pPr>
        <w:ind w:left="200" w:right="219"/>
        <w:spacing w:after="0" w:line="273" w:lineRule="auto"/>
        <w:rPr>
          <w:sz w:val="20"/>
          <w:szCs w:val="20"/>
          <w:color w:val="auto"/>
        </w:rPr>
      </w:pPr>
      <w:r>
        <w:rPr>
          <w:rFonts w:ascii="Times New Roman" w:cs="Times New Roman" w:eastAsia="Times New Roman" w:hAnsi="Times New Roman"/>
          <w:sz w:val="20"/>
          <w:szCs w:val="20"/>
          <w:b w:val="1"/>
          <w:bCs w:val="1"/>
          <w:color w:val="auto"/>
        </w:rPr>
        <w:t>Upon executing a transaction, directors, officers and employees must immediately notify the Company.</w:t>
      </w:r>
    </w:p>
    <w:p>
      <w:pPr>
        <w:sectPr>
          <w:pgSz w:w="11900" w:h="16838" w:orient="portrait"/>
          <w:cols w:equalWidth="0" w:num="1">
            <w:col w:w="9019"/>
          </w:cols>
          <w:pgMar w:left="1440" w:top="896" w:right="1440" w:bottom="1440" w:gutter="0" w:footer="0" w:header="0"/>
        </w:sectPr>
      </w:pP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b w:val="1"/>
          <w:bCs w:val="1"/>
          <w:color w:val="auto"/>
        </w:rPr>
        <w:t>Transaction Vehicle (check one)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Transaction Initiated By (check one)</w:t>
      </w:r>
    </w:p>
    <w:p>
      <w:pPr>
        <w:spacing w:after="0" w:line="44" w:lineRule="exact"/>
        <w:rPr>
          <w:sz w:val="20"/>
          <w:szCs w:val="20"/>
          <w:color w:val="auto"/>
        </w:rPr>
      </w:pPr>
    </w:p>
    <w:p>
      <w:pPr>
        <w:sectPr>
          <w:pgSz w:w="11900" w:h="16838" w:orient="portrait"/>
          <w:cols w:equalWidth="0" w:num="2">
            <w:col w:w="3540" w:space="520"/>
            <w:col w:w="4959"/>
          </w:cols>
          <w:pgMar w:left="1440" w:top="896" w:right="1440" w:bottom="1440" w:gutter="0" w:footer="0" w:header="0"/>
          <w:type w:val="continuous"/>
        </w:sectPr>
      </w:pPr>
    </w:p>
    <w:p>
      <w:pPr>
        <w:ind w:left="860" w:right="180"/>
        <w:spacing w:after="0" w:line="271"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Open Market Transaction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Equity Compensation Plan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Other (specify):</w:t>
      </w:r>
    </w:p>
    <w:p>
      <w:pPr>
        <w:spacing w:after="0" w:line="20" w:lineRule="exact"/>
        <w:rPr>
          <w:sz w:val="20"/>
          <w:szCs w:val="20"/>
          <w:color w:val="auto"/>
        </w:rPr>
      </w:pPr>
      <w:r>
        <w:rPr>
          <w:sz w:val="20"/>
          <w:szCs w:val="20"/>
          <w:color w:val="auto"/>
        </w:rPr>
        <w:br w:type="column"/>
      </w:r>
    </w:p>
    <w:p>
      <w:pPr>
        <w:ind w:right="719" w:hanging="6"/>
        <w:spacing w:after="0" w:line="251"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Employee or immediate family member directly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Court or government decree (e.g., divorce decree)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Broker (provide name, firm, telephone and e-mail):</w:t>
      </w:r>
    </w:p>
    <w:p>
      <w:pPr>
        <w:spacing w:after="0" w:line="200" w:lineRule="exact"/>
        <w:rPr>
          <w:sz w:val="20"/>
          <w:szCs w:val="20"/>
          <w:color w:val="auto"/>
        </w:rPr>
      </w:pPr>
    </w:p>
    <w:p>
      <w:pPr>
        <w:sectPr>
          <w:pgSz w:w="11900" w:h="16838" w:orient="portrait"/>
          <w:cols w:equalWidth="0" w:num="2">
            <w:col w:w="3380" w:space="720"/>
            <w:col w:w="4919"/>
          </w:cols>
          <w:pgMar w:left="1440" w:top="896" w:right="1440" w:bottom="1440" w:gutter="0" w:footer="0" w:header="0"/>
          <w:type w:val="continuous"/>
        </w:sectPr>
      </w:pPr>
    </w:p>
    <w:p>
      <w:pPr>
        <w:spacing w:after="0" w:line="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Type of Transaction (check one)</w:t>
      </w:r>
    </w:p>
    <w:p>
      <w:pPr>
        <w:spacing w:after="0" w:line="71" w:lineRule="exact"/>
        <w:rPr>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Purchase or acquire common stock</w:t>
      </w:r>
    </w:p>
    <w:p>
      <w:pPr>
        <w:spacing w:after="0" w:line="35" w:lineRule="exact"/>
        <w:rPr>
          <w:rFonts w:ascii="MS PGothic" w:cs="MS PGothic" w:eastAsia="MS PGothic" w:hAnsi="MS PGothic"/>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Sell or dispose of common stock</w:t>
      </w:r>
    </w:p>
    <w:p>
      <w:pPr>
        <w:spacing w:after="0" w:line="13" w:lineRule="exact"/>
        <w:rPr>
          <w:rFonts w:ascii="MS PGothic" w:cs="MS PGothic" w:eastAsia="MS PGothic" w:hAnsi="MS PGothic"/>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Move Company Securities from one account to another (e.g., in or out of a trust)</w:t>
      </w:r>
    </w:p>
    <w:p>
      <w:pPr>
        <w:spacing w:after="0" w:line="13" w:lineRule="exact"/>
        <w:rPr>
          <w:rFonts w:ascii="MS PGothic" w:cs="MS PGothic" w:eastAsia="MS PGothic" w:hAnsi="MS PGothic"/>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Dispose of fractional shares</w:t>
      </w:r>
    </w:p>
    <w:p>
      <w:pPr>
        <w:spacing w:after="0" w:line="13" w:lineRule="exact"/>
        <w:rPr>
          <w:rFonts w:ascii="MS PGothic" w:cs="MS PGothic" w:eastAsia="MS PGothic" w:hAnsi="MS PGothic"/>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Pledge Company Securities for margin account, or otherwise</w:t>
      </w:r>
    </w:p>
    <w:p>
      <w:pPr>
        <w:spacing w:after="0" w:line="13" w:lineRule="exact"/>
        <w:rPr>
          <w:rFonts w:ascii="MS PGothic" w:cs="MS PGothic" w:eastAsia="MS PGothic" w:hAnsi="MS PGothic"/>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Exercise options without subsequent sale</w:t>
      </w:r>
    </w:p>
    <w:p>
      <w:pPr>
        <w:spacing w:after="0" w:line="13" w:lineRule="exact"/>
        <w:rPr>
          <w:rFonts w:ascii="MS PGothic" w:cs="MS PGothic" w:eastAsia="MS PGothic" w:hAnsi="MS PGothic"/>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Exercise options with subsequent sale (e.g., a “cashless exercise”)</w:t>
      </w:r>
    </w:p>
    <w:p>
      <w:pPr>
        <w:spacing w:after="0" w:line="13" w:lineRule="exact"/>
        <w:rPr>
          <w:rFonts w:ascii="MS PGothic" w:cs="MS PGothic" w:eastAsia="MS PGothic" w:hAnsi="MS PGothic"/>
          <w:sz w:val="20"/>
          <w:szCs w:val="20"/>
          <w:color w:val="auto"/>
        </w:rPr>
      </w:pPr>
    </w:p>
    <w:p>
      <w:pPr>
        <w:ind w:left="1080" w:hanging="223"/>
        <w:spacing w:after="0"/>
        <w:tabs>
          <w:tab w:leader="none" w:pos="1080" w:val="left"/>
        </w:tabs>
        <w:numPr>
          <w:ilvl w:val="0"/>
          <w:numId w:val="39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Other (describe):</w:t>
      </w:r>
    </w:p>
    <w:p>
      <w:pPr>
        <w:spacing w:after="0" w:line="2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Transaction Detail (provide the following information)</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-10795</wp:posOffset>
            </wp:positionV>
            <wp:extent cx="302069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7">
                      <a:extLst>
                        <a:ext uri="{28A0092B-C50C-407E-A947-70E740481C1C}"/>
                      </a:extLst>
                    </a:blip>
                    <a:srcRect/>
                    <a:stretch>
                      <a:fillRect/>
                    </a:stretch>
                  </pic:blipFill>
                  <pic:spPr bwMode="auto">
                    <a:xfrm>
                      <a:off x="0" y="0"/>
                      <a:ext cx="3020695" cy="8890"/>
                    </a:xfrm>
                    <a:prstGeom prst="rect">
                      <a:avLst/>
                    </a:prstGeom>
                    <a:noFill/>
                  </pic:spPr>
                </pic:pic>
              </a:graphicData>
            </a:graphic>
          </wp:anchor>
        </w:drawing>
      </w:r>
    </w:p>
    <w:p>
      <w:pPr>
        <w:spacing w:after="0" w:line="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Estimated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-10795</wp:posOffset>
            </wp:positionV>
            <wp:extent cx="29946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8">
                      <a:extLst>
                        <a:ext uri="{28A0092B-C50C-407E-A947-70E740481C1C}"/>
                      </a:extLst>
                    </a:blip>
                    <a:srcRect/>
                    <a:stretch>
                      <a:fillRect/>
                    </a:stretch>
                  </pic:blipFill>
                  <pic:spPr bwMode="auto">
                    <a:xfrm>
                      <a:off x="0" y="0"/>
                      <a:ext cx="2994660" cy="8255"/>
                    </a:xfrm>
                    <a:prstGeom prst="rect">
                      <a:avLst/>
                    </a:prstGeom>
                    <a:noFill/>
                  </pic:spPr>
                </pic:pic>
              </a:graphicData>
            </a:graphic>
          </wp:anchor>
        </w:drawing>
      </w:r>
    </w:p>
    <w:p>
      <w:pPr>
        <w:spacing w:after="0" w:line="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Contemplated execution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-10795</wp:posOffset>
            </wp:positionV>
            <wp:extent cx="25831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9">
                      <a:extLst>
                        <a:ext uri="{28A0092B-C50C-407E-A947-70E740481C1C}"/>
                      </a:extLst>
                    </a:blip>
                    <a:srcRect/>
                    <a:stretch>
                      <a:fillRect/>
                    </a:stretch>
                  </pic:blipFill>
                  <pic:spPr bwMode="auto">
                    <a:xfrm>
                      <a:off x="0" y="0"/>
                      <a:ext cx="2583180" cy="8890"/>
                    </a:xfrm>
                    <a:prstGeom prst="rect">
                      <a:avLst/>
                    </a:prstGeom>
                    <a:noFill/>
                  </pic:spPr>
                </pic:pic>
              </a:graphicData>
            </a:graphic>
          </wp:anchor>
        </w:drawing>
      </w:r>
    </w:p>
    <w:p>
      <w:pPr>
        <w:spacing w:after="0" w:line="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Date of your last “opposite way” transaction**:</w:t>
      </w:r>
      <w:r>
        <w:rPr>
          <w:rFonts w:ascii="Times New Roman" w:cs="Times New Roman" w:eastAsia="Times New Roman" w:hAnsi="Times New Roman"/>
          <w:sz w:val="20"/>
          <w:szCs w:val="20"/>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-10795</wp:posOffset>
            </wp:positionV>
            <wp:extent cx="16395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0">
                      <a:extLst>
                        <a:ext uri="{28A0092B-C50C-407E-A947-70E740481C1C}"/>
                      </a:extLst>
                    </a:blip>
                    <a:srcRect/>
                    <a:stretch>
                      <a:fillRect/>
                    </a:stretch>
                  </pic:blipFill>
                  <pic:spPr bwMode="auto">
                    <a:xfrm>
                      <a:off x="0" y="0"/>
                      <a:ext cx="1639570" cy="8255"/>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33"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I certify that I have fully disclosed the information requested in this form, I have read the MetaVia Inc. Insider Trading Policy, I am not in possession of material nonpublic information, and to the best of my knowledge and belief the proposed transaction will not violate the NeuroBo Pharmaceuticals, Inc. Insider Trading Compliance Policy.</w:t>
      </w:r>
    </w:p>
    <w:p>
      <w:pPr>
        <w:spacing w:after="0" w:line="19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1915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1">
                      <a:extLst>
                        <a:ext uri="{28A0092B-C50C-407E-A947-70E740481C1C}"/>
                      </a:extLst>
                    </a:blip>
                    <a:srcRect/>
                    <a:stretch>
                      <a:fillRect/>
                    </a:stretch>
                  </pic:blipFill>
                  <pic:spPr bwMode="auto">
                    <a:xfrm>
                      <a:off x="0" y="0"/>
                      <a:ext cx="1915160" cy="8890"/>
                    </a:xfrm>
                    <a:prstGeom prst="rect">
                      <a:avLst/>
                    </a:prstGeom>
                    <a:noFill/>
                  </pic:spPr>
                </pic:pic>
              </a:graphicData>
            </a:graphic>
          </wp:anchor>
        </w:drawing>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1821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2">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-10795</wp:posOffset>
            </wp:positionV>
            <wp:extent cx="21297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3">
                      <a:extLst>
                        <a:ext uri="{28A0092B-C50C-407E-A947-70E740481C1C}"/>
                      </a:extLst>
                    </a:blip>
                    <a:srcRect/>
                    <a:stretch>
                      <a:fillRect/>
                    </a:stretch>
                  </pic:blipFill>
                  <pic:spPr bwMode="auto">
                    <a:xfrm>
                      <a:off x="0" y="0"/>
                      <a:ext cx="2129790" cy="8255"/>
                    </a:xfrm>
                    <a:prstGeom prst="rect">
                      <a:avLst/>
                    </a:prstGeom>
                    <a:noFill/>
                  </pic:spPr>
                </pic:pic>
              </a:graphicData>
            </a:graphic>
          </wp:anchor>
        </w:drawing>
      </w:r>
    </w:p>
    <w:p>
      <w:pPr>
        <w:spacing w:after="0" w:line="205" w:lineRule="exact"/>
        <w:rPr>
          <w:sz w:val="20"/>
          <w:szCs w:val="20"/>
          <w:color w:val="auto"/>
        </w:rPr>
      </w:pPr>
    </w:p>
    <w:p>
      <w:pPr>
        <w:ind w:left="200" w:right="219" w:firstLine="9"/>
        <w:spacing w:after="0" w:line="273" w:lineRule="auto"/>
        <w:tabs>
          <w:tab w:leader="none" w:pos="372" w:val="left"/>
        </w:tabs>
        <w:numPr>
          <w:ilvl w:val="0"/>
          <w:numId w:val="40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Capitalized terms used but not defined herein have the meanings ascribed to them in the MetaVia Inc. Insider Trading Compliance Policy.</w:t>
      </w:r>
    </w:p>
    <w:p>
      <w:pPr>
        <w:spacing w:after="0" w:line="165" w:lineRule="exact"/>
        <w:rPr>
          <w:sz w:val="20"/>
          <w:szCs w:val="20"/>
          <w:color w:val="auto"/>
        </w:rPr>
      </w:pPr>
    </w:p>
    <w:p>
      <w:pPr>
        <w:jc w:val="both"/>
        <w:ind w:left="200" w:right="219" w:firstLine="9"/>
        <w:spacing w:after="0" w:line="250" w:lineRule="auto"/>
        <w:tabs>
          <w:tab w:leader="none" w:pos="468" w:val="left"/>
        </w:tabs>
        <w:numPr>
          <w:ilvl w:val="0"/>
          <w:numId w:val="40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If a Section 16 insider buys and sells (or sells and buys) Company Securities within a six-month time frame and such transactions are not exempt under SEC rules, the two transactions can be “matched” for purposes of Section 16. The insider may be sued and will be strictly liable for any profits made, </w:t>
      </w:r>
      <w:r>
        <w:rPr>
          <w:rFonts w:ascii="Times New Roman" w:cs="Times New Roman" w:eastAsia="Times New Roman" w:hAnsi="Times New Roman"/>
          <w:sz w:val="20"/>
          <w:szCs w:val="20"/>
          <w:b w:val="1"/>
          <w:bCs w:val="1"/>
          <w:i w:val="1"/>
          <w:iCs w:val="1"/>
          <w:u w:val="single" w:color="auto"/>
          <w:color w:val="auto"/>
        </w:rPr>
        <w:t>regardless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i w:val="1"/>
          <w:iCs w:val="1"/>
          <w:u w:val="single" w:color="auto"/>
          <w:color w:val="auto"/>
        </w:rPr>
        <w:t>of whether the insider was in possession of material nonpublic information</w:t>
      </w:r>
      <w:r>
        <w:rPr>
          <w:rFonts w:ascii="Times New Roman" w:cs="Times New Roman" w:eastAsia="Times New Roman" w:hAnsi="Times New Roman"/>
          <w:sz w:val="20"/>
          <w:szCs w:val="20"/>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394335</wp:posOffset>
            </wp:positionV>
            <wp:extent cx="534479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4">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type w:val="continuous"/>
        </w:sectPr>
      </w:pPr>
    </w:p>
    <w:bookmarkStart w:id="311" w:name="page312"/>
    <w:bookmarkEnd w:id="311"/>
    <w:p>
      <w:pPr>
        <w:jc w:val="right"/>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ttachment</w:t>
      </w:r>
      <w:r>
        <w:rPr>
          <w:rFonts w:ascii="Times New Roman" w:cs="Times New Roman" w:eastAsia="Times New Roman" w:hAnsi="Times New Roman"/>
          <w:sz w:val="20"/>
          <w:szCs w:val="20"/>
          <w:b w:val="1"/>
          <w:bCs w:val="1"/>
          <w:u w:val="single" w:color="auto"/>
          <w:color w:val="auto"/>
        </w:rPr>
        <w:t xml:space="preserve"> D</w:t>
      </w:r>
    </w:p>
    <w:p>
      <w:pPr>
        <w:spacing w:after="0" w:line="2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color w:val="auto"/>
        </w:rPr>
        <w:t>Outside Directors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 OF COMPLIANCE</w:t>
      </w:r>
    </w:p>
    <w:p>
      <w:pPr>
        <w:spacing w:after="0" w:line="233"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Compliance Officer</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-10795</wp:posOffset>
            </wp:positionV>
            <wp:extent cx="16313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6">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19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INSIDER TRADING COMPLIANCE POLICY OF METAVIA INC.</w:t>
      </w:r>
    </w:p>
    <w:p>
      <w:pPr>
        <w:spacing w:after="0" w:line="21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I have received, reviewed and understand the above-referenced Insider Trading Compliance Policy and hereby undertake, as a condition to my present and continued affiliation with MetaVia Inc., to comply fully with the policies and procedures contained therein.</w:t>
      </w:r>
    </w:p>
    <w:p>
      <w:pPr>
        <w:spacing w:after="0" w:line="174"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I hereby certify that to the best of my knowledge I have complied, and I will henceforth comply fully with all policies and procedures set forth in the above-referenced 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235585</wp:posOffset>
            </wp:positionV>
            <wp:extent cx="534479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7">
                      <a:extLst>
                        <a:ext uri="{28A0092B-C50C-407E-A947-70E740481C1C}"/>
                      </a:extLst>
                    </a:blip>
                    <a:srcRect/>
                    <a:stretch>
                      <a:fillRect/>
                    </a:stretch>
                  </pic:blipFill>
                  <pic:spPr bwMode="auto">
                    <a:xfrm>
                      <a:off x="0" y="0"/>
                      <a:ext cx="5344795" cy="8255"/>
                    </a:xfrm>
                    <a:prstGeom prst="rect">
                      <a:avLst/>
                    </a:prstGeom>
                    <a:noFill/>
                  </pic:spPr>
                </pic:pic>
              </a:graphicData>
            </a:graphic>
          </wp:anchor>
        </w:drawing>
      </w:r>
    </w:p>
    <w:p>
      <w:pPr>
        <w:spacing w:after="0" w:line="369" w:lineRule="exact"/>
        <w:rPr>
          <w:sz w:val="20"/>
          <w:szCs w:val="20"/>
          <w:color w:val="auto"/>
        </w:rPr>
      </w:pPr>
    </w:p>
    <w:p>
      <w:pPr>
        <w:ind w:left="200"/>
        <w:spacing w:after="0"/>
        <w:tabs>
          <w:tab w:leader="none" w:pos="53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280035</wp:posOffset>
            </wp:positionV>
            <wp:extent cx="28759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8">
                      <a:extLst>
                        <a:ext uri="{28A0092B-C50C-407E-A947-70E740481C1C}"/>
                      </a:extLst>
                    </a:blip>
                    <a:srcRect/>
                    <a:stretch>
                      <a:fillRect/>
                    </a:stretch>
                  </pic:blipFill>
                  <pic:spPr bwMode="auto">
                    <a:xfrm>
                      <a:off x="0" y="0"/>
                      <a:ext cx="287591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280035</wp:posOffset>
            </wp:positionV>
            <wp:extent cx="53447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9">
                      <a:extLst>
                        <a:ext uri="{28A0092B-C50C-407E-A947-70E740481C1C}"/>
                      </a:extLst>
                    </a:blip>
                    <a:srcRect/>
                    <a:stretch>
                      <a:fillRect/>
                    </a:stretch>
                  </pic:blipFill>
                  <pic:spPr bwMode="auto">
                    <a:xfrm>
                      <a:off x="0" y="0"/>
                      <a:ext cx="534479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12" w:name="page313"/>
    <w:bookmarkEnd w:id="312"/>
    <w:p>
      <w:pPr>
        <w:jc w:val="right"/>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ttachment</w:t>
      </w:r>
      <w:r>
        <w:rPr>
          <w:rFonts w:ascii="Times New Roman" w:cs="Times New Roman" w:eastAsia="Times New Roman" w:hAnsi="Times New Roman"/>
          <w:sz w:val="20"/>
          <w:szCs w:val="20"/>
          <w:b w:val="1"/>
          <w:bCs w:val="1"/>
          <w:u w:val="single" w:color="auto"/>
          <w:color w:val="auto"/>
        </w:rPr>
        <w:t xml:space="preserve"> E</w:t>
      </w:r>
    </w:p>
    <w:p>
      <w:pPr>
        <w:spacing w:after="0" w:line="2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color w:val="auto"/>
        </w:rPr>
        <w:t>Officers, Management Directors &amp; Employees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 OF COMPLIANCE</w:t>
      </w:r>
    </w:p>
    <w:p>
      <w:pPr>
        <w:spacing w:after="0" w:line="20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Compliance Officer</w:t>
      </w:r>
    </w:p>
    <w:p>
      <w:pPr>
        <w:spacing w:after="0" w:line="216" w:lineRule="exact"/>
        <w:rPr>
          <w:sz w:val="20"/>
          <w:szCs w:val="20"/>
          <w:color w:val="auto"/>
        </w:rPr>
      </w:pPr>
    </w:p>
    <w:p>
      <w:pPr>
        <w:jc w:val="right"/>
        <w:ind w:right="8159"/>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jc w:val="right"/>
        <w:ind w:right="8159"/>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-24765</wp:posOffset>
            </wp:positionV>
            <wp:extent cx="8178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1">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174"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INSIDER TRADING COMPLIANCE POLICY OF METAVIA INC.</w:t>
      </w:r>
    </w:p>
    <w:p>
      <w:pPr>
        <w:spacing w:after="0" w:line="21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I have received, reviewed and understand the above-referenced Insider Trading Compliance Policy and hereby undertake, as a condition to my present and continued employment at MetaVia Inc., to comply fully with the policies and procedures contained therein.</w:t>
      </w:r>
    </w:p>
    <w:p>
      <w:pPr>
        <w:spacing w:after="0" w:line="174"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I hereby certify that to the best of my knowledge I have complied, and I will henceforth comply fully with all policies and procedures set forth in the above-referenced 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235585</wp:posOffset>
            </wp:positionV>
            <wp:extent cx="534479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2">
                      <a:extLst>
                        <a:ext uri="{28A0092B-C50C-407E-A947-70E740481C1C}"/>
                      </a:extLst>
                    </a:blip>
                    <a:srcRect/>
                    <a:stretch>
                      <a:fillRect/>
                    </a:stretch>
                  </pic:blipFill>
                  <pic:spPr bwMode="auto">
                    <a:xfrm>
                      <a:off x="0" y="0"/>
                      <a:ext cx="5344795" cy="8890"/>
                    </a:xfrm>
                    <a:prstGeom prst="rect">
                      <a:avLst/>
                    </a:prstGeom>
                    <a:noFill/>
                  </pic:spPr>
                </pic:pic>
              </a:graphicData>
            </a:graphic>
          </wp:anchor>
        </w:drawing>
      </w:r>
    </w:p>
    <w:p>
      <w:pPr>
        <w:spacing w:after="0" w:line="369" w:lineRule="exact"/>
        <w:rPr>
          <w:sz w:val="20"/>
          <w:szCs w:val="20"/>
          <w:color w:val="auto"/>
        </w:rPr>
      </w:pPr>
    </w:p>
    <w:tbl>
      <w:tblPr>
        <w:tblLayout w:type="fixed"/>
        <w:tblInd w:w="200" w:type="dxa"/>
        <w:tblCellMar>
          <w:top w:w="0" w:type="dxa"/>
          <w:left w:w="0" w:type="dxa"/>
          <w:bottom w:w="0" w:type="dxa"/>
          <w:right w:w="0" w:type="dxa"/>
        </w:tblCellMar>
      </w:tblPr>
      <w:tr>
        <w:trPr>
          <w:trHeight w:val="258"/>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w:t>
            </w:r>
          </w:p>
        </w:tc>
        <w:tc>
          <w:tcPr>
            <w:tcW w:w="406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413"/>
        </w:trPr>
        <w:tc>
          <w:tcPr>
            <w:tcW w:w="4540" w:type="dxa"/>
            <w:vAlign w:val="bottom"/>
            <w:tcBorders>
              <w:bottom w:val="single" w:sz="8" w:color="auto"/>
            </w:tcBorders>
            <w:gridSpan w:val="2"/>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3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540" w:type="dxa"/>
            <w:vAlign w:val="bottom"/>
            <w:tcBorders>
              <w:bottom w:val="single" w:sz="8" w:color="auto"/>
            </w:tcBorders>
            <w:gridSpan w:val="2"/>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tc>
        <w:tc>
          <w:tcPr>
            <w:tcW w:w="4060" w:type="dxa"/>
            <w:vAlign w:val="bottom"/>
            <w:gridSpan w:val="2"/>
            <w:vMerge w:val="restart"/>
          </w:tcPr>
          <w:p>
            <w:pPr>
              <w:ind w:left="3420"/>
              <w:spacing w:after="0"/>
              <w:rPr>
                <w:sz w:val="20"/>
                <w:szCs w:val="20"/>
                <w:color w:val="auto"/>
              </w:rPr>
            </w:pPr>
            <w:r>
              <w:rPr>
                <w:rFonts w:ascii="Times New Roman" w:cs="Times New Roman" w:eastAsia="Times New Roman" w:hAnsi="Times New Roman"/>
                <w:sz w:val="20"/>
                <w:szCs w:val="20"/>
                <w:color w:val="auto"/>
                <w:w w:val="96"/>
              </w:rPr>
              <w:t>Page 19</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p>
        </w:tc>
        <w:tc>
          <w:tcPr>
            <w:tcW w:w="4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09" w:right="1440" w:bottom="1440" w:gutter="0" w:footer="0" w:header="0"/>
        </w:sectPr>
      </w:pPr>
    </w:p>
    <w:bookmarkStart w:id="313" w:name="page314"/>
    <w:bookmarkEnd w:id="313"/>
    <w:p>
      <w:pPr>
        <w:jc w:val="right"/>
        <w:ind w:right="219"/>
        <w:spacing w:after="0"/>
        <w:rPr>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3"/>
          <w:szCs w:val="13"/>
          <w:b w:val="1"/>
          <w:bCs w:val="1"/>
          <w:u w:val="single" w:color="auto"/>
          <w:color w:val="auto"/>
        </w:rPr>
        <w:t>ttachment</w:t>
      </w:r>
      <w:r>
        <w:rPr>
          <w:rFonts w:ascii="Times New Roman" w:cs="Times New Roman" w:eastAsia="Times New Roman" w:hAnsi="Times New Roman"/>
          <w:sz w:val="20"/>
          <w:szCs w:val="20"/>
          <w:b w:val="1"/>
          <w:bCs w:val="1"/>
          <w:u w:val="single" w:color="auto"/>
          <w:color w:val="auto"/>
        </w:rPr>
        <w:t xml:space="preserve"> F</w:t>
      </w:r>
    </w:p>
    <w:p>
      <w:pPr>
        <w:spacing w:after="0" w:line="2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color w:val="auto"/>
        </w:rPr>
        <w:t>Consultants, Contractors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 OF COMPLIANCE</w:t>
      </w:r>
    </w:p>
    <w:p>
      <w:pPr>
        <w:spacing w:after="0" w:line="200" w:lineRule="exact"/>
        <w:rPr>
          <w:sz w:val="20"/>
          <w:szCs w:val="20"/>
          <w:color w:val="auto"/>
        </w:rPr>
      </w:pPr>
    </w:p>
    <w:p>
      <w:pPr>
        <w:spacing w:after="0" w:line="249"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Compliance Officer</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-10795</wp:posOffset>
            </wp:positionV>
            <wp:extent cx="121983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3">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19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20"/>
          <w:szCs w:val="20"/>
          <w:color w:val="auto"/>
        </w:rPr>
        <w:t>INSIDER TRADING COMPLIANCE POLICY OF METAVIA INC.</w:t>
      </w:r>
    </w:p>
    <w:p>
      <w:pPr>
        <w:spacing w:after="0" w:line="216"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The above named consultant or contractor to MetaVia Inc. has received, reviewed and understands the above-referenced Insider Trading Compliance Policy and hereby undertakes, as a condition to his, her or its present and continued consulting or other contractual relationship with MetaVia Inc., to comply fully with the policies and procedures contained therein.</w:t>
      </w:r>
    </w:p>
    <w:p>
      <w:pPr>
        <w:spacing w:after="0" w:line="18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The above named consultant or contractor hereby certifies that to the best of his, her or its knowledge such consultant or contractor has complied and will henceforth comply fully with all policies and procedures set forth in the above-referenced 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245110</wp:posOffset>
            </wp:positionV>
            <wp:extent cx="53447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4">
                      <a:extLst>
                        <a:ext uri="{28A0092B-C50C-407E-A947-70E740481C1C}"/>
                      </a:extLst>
                    </a:blip>
                    <a:srcRect/>
                    <a:stretch>
                      <a:fillRect/>
                    </a:stretch>
                  </pic:blipFill>
                  <pic:spPr bwMode="auto">
                    <a:xfrm>
                      <a:off x="0" y="0"/>
                      <a:ext cx="5344795" cy="8255"/>
                    </a:xfrm>
                    <a:prstGeom prst="rect">
                      <a:avLst/>
                    </a:prstGeom>
                    <a:noFill/>
                  </pic:spPr>
                </pic:pic>
              </a:graphicData>
            </a:graphic>
          </wp:anchor>
        </w:drawing>
      </w:r>
    </w:p>
    <w:p>
      <w:pPr>
        <w:spacing w:after="0" w:line="384" w:lineRule="exact"/>
        <w:rPr>
          <w:sz w:val="20"/>
          <w:szCs w:val="20"/>
          <w:color w:val="auto"/>
        </w:rPr>
      </w:pPr>
    </w:p>
    <w:p>
      <w:pPr>
        <w:ind w:left="200"/>
        <w:spacing w:after="0"/>
        <w:tabs>
          <w:tab w:leader="none" w:pos="53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280035</wp:posOffset>
            </wp:positionV>
            <wp:extent cx="28759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5">
                      <a:extLst>
                        <a:ext uri="{28A0092B-C50C-407E-A947-70E740481C1C}"/>
                      </a:extLst>
                    </a:blip>
                    <a:srcRect/>
                    <a:stretch>
                      <a:fillRect/>
                    </a:stretch>
                  </pic:blipFill>
                  <pic:spPr bwMode="auto">
                    <a:xfrm>
                      <a:off x="0" y="0"/>
                      <a:ext cx="287591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280035</wp:posOffset>
            </wp:positionV>
            <wp:extent cx="28746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6">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133985</wp:posOffset>
            </wp:positionV>
            <wp:extent cx="53447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7">
                      <a:extLst>
                        <a:ext uri="{28A0092B-C50C-407E-A947-70E740481C1C}"/>
                      </a:extLst>
                    </a:blip>
                    <a:srcRect/>
                    <a:stretch>
                      <a:fillRect/>
                    </a:stretch>
                  </pic:blipFill>
                  <pic:spPr bwMode="auto">
                    <a:xfrm>
                      <a:off x="0" y="0"/>
                      <a:ext cx="5344795" cy="8255"/>
                    </a:xfrm>
                    <a:prstGeom prst="rect">
                      <a:avLst/>
                    </a:prstGeom>
                    <a:noFill/>
                  </pic:spPr>
                </pic:pic>
              </a:graphicData>
            </a:graphic>
          </wp:anchor>
        </w:drawing>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METAVIA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220"/>
        <w:spacing w:after="0"/>
        <w:tabs>
          <w:tab w:leader="none" w:pos="8140" w:val="left"/>
        </w:tabs>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3"/>
          <w:szCs w:val="13"/>
          <w:color w:val="auto"/>
        </w:rPr>
        <w:t>nsider</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rading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olicy</w:t>
      </w:r>
      <w:r>
        <w:rPr>
          <w:sz w:val="20"/>
          <w:szCs w:val="20"/>
          <w:color w:val="auto"/>
        </w:rPr>
        <w:tab/>
      </w:r>
      <w:r>
        <w:rPr>
          <w:rFonts w:ascii="Times New Roman" w:cs="Times New Roman" w:eastAsia="Times New Roman" w:hAnsi="Times New Roman"/>
          <w:sz w:val="20"/>
          <w:szCs w:val="20"/>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351155</wp:posOffset>
            </wp:positionV>
            <wp:extent cx="545211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3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Subsidiaries of MetaVia Inc.</w:t>
            </w:r>
          </w:p>
        </w:tc>
      </w:tr>
      <w:tr>
        <w:trPr>
          <w:trHeight w:val="230"/>
        </w:trPr>
        <w:tc>
          <w:tcPr>
            <w:tcW w:w="1200" w:type="dxa"/>
            <w:vAlign w:val="bottom"/>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r>
      <w:tr>
        <w:trPr>
          <w:trHeight w:val="209"/>
        </w:trPr>
        <w:tc>
          <w:tcPr>
            <w:tcW w:w="1200" w:type="dxa"/>
            <w:vAlign w:val="bottom"/>
            <w:tcBorders>
              <w:right w:val="single" w:sz="8" w:color="auto"/>
            </w:tcBorders>
          </w:tcPr>
          <w:p>
            <w:pPr>
              <w:spacing w:after="0"/>
              <w:rPr>
                <w:sz w:val="18"/>
                <w:szCs w:val="18"/>
                <w:color w:val="auto"/>
              </w:rPr>
            </w:pPr>
          </w:p>
        </w:tc>
        <w:tc>
          <w:tcPr>
            <w:tcW w:w="2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Borders>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c>
          <w:tcPr>
            <w:tcW w:w="1160" w:type="dxa"/>
            <w:vAlign w:val="bottom"/>
          </w:tcPr>
          <w:p>
            <w:pPr>
              <w:spacing w:after="0"/>
              <w:rPr>
                <w:sz w:val="18"/>
                <w:szCs w:val="18"/>
                <w:color w:val="auto"/>
              </w:rPr>
            </w:pPr>
          </w:p>
        </w:tc>
      </w:tr>
      <w:tr>
        <w:trPr>
          <w:trHeight w:val="209"/>
        </w:trPr>
        <w:tc>
          <w:tcPr>
            <w:tcW w:w="1200" w:type="dxa"/>
            <w:vAlign w:val="bottom"/>
            <w:tcBorders>
              <w:right w:val="single" w:sz="8" w:color="auto"/>
            </w:tcBorders>
          </w:tcPr>
          <w:p>
            <w:pPr>
              <w:spacing w:after="0"/>
              <w:rPr>
                <w:sz w:val="18"/>
                <w:szCs w:val="18"/>
                <w:color w:val="auto"/>
              </w:rPr>
            </w:pPr>
          </w:p>
        </w:tc>
        <w:tc>
          <w:tcPr>
            <w:tcW w:w="2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ANA Therapeutics, LLC</w:t>
            </w:r>
          </w:p>
        </w:tc>
        <w:tc>
          <w:tcPr>
            <w:tcW w:w="1420" w:type="dxa"/>
            <w:vAlign w:val="bottom"/>
            <w:tcBorders>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160" w:type="dxa"/>
            <w:vAlign w:val="bottom"/>
          </w:tcPr>
          <w:p>
            <w:pPr>
              <w:spacing w:after="0"/>
              <w:rPr>
                <w:sz w:val="18"/>
                <w:szCs w:val="18"/>
                <w:color w:val="auto"/>
              </w:rPr>
            </w:pPr>
          </w:p>
        </w:tc>
      </w:tr>
      <w:tr>
        <w:trPr>
          <w:trHeight w:val="210"/>
        </w:trPr>
        <w:tc>
          <w:tcPr>
            <w:tcW w:w="1200" w:type="dxa"/>
            <w:vAlign w:val="bottom"/>
            <w:tcBorders>
              <w:right w:val="single" w:sz="8" w:color="auto"/>
            </w:tcBorders>
          </w:tcPr>
          <w:p>
            <w:pPr>
              <w:spacing w:after="0"/>
              <w:rPr>
                <w:sz w:val="18"/>
                <w:szCs w:val="18"/>
                <w:color w:val="auto"/>
              </w:rPr>
            </w:pPr>
          </w:p>
        </w:tc>
        <w:tc>
          <w:tcPr>
            <w:tcW w:w="2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NeuroBo Therapeutics, Inc.</w:t>
            </w:r>
          </w:p>
        </w:tc>
        <w:tc>
          <w:tcPr>
            <w:tcW w:w="1420" w:type="dxa"/>
            <w:vAlign w:val="bottom"/>
            <w:tcBorders>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160" w:type="dxa"/>
            <w:vAlign w:val="bottom"/>
          </w:tcPr>
          <w:p>
            <w:pPr>
              <w:spacing w:after="0"/>
              <w:rPr>
                <w:sz w:val="18"/>
                <w:szCs w:val="18"/>
                <w:color w:val="auto"/>
              </w:rPr>
            </w:pPr>
          </w:p>
        </w:tc>
      </w:tr>
      <w:tr>
        <w:trPr>
          <w:trHeight w:val="770"/>
        </w:trPr>
        <w:tc>
          <w:tcPr>
            <w:tcW w:w="1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15" w:name="page316"/>
    <w:bookmarkEnd w:id="315"/>
    <w:p>
      <w:pPr>
        <w:jc w:val="right"/>
        <w:ind w:right="59"/>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333-269365, 333-255418, 333-252412 and 333-278646), Form S-1 (No. 333-280865) and Form S-8 (No. 333-271292, 333-237535 and 333-260765) of MetaVia Inc. (the Company) of our report dated March 20, 2025, relating to the consolidated financial statements which appears in this Annual Report on Form 10-K. Our report contains an explanatory paragraph regarding the Company’s ability to continue as a going concern.</w:t>
      </w: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BDO USA, P.C.</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6" w:name="page317"/>
    <w:bookmarkEnd w:id="316"/>
    <w:p>
      <w:pPr>
        <w:jc w:val="right"/>
        <w:ind w:right="20"/>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2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Hyung Heon Kim, certify that:</w:t>
      </w:r>
    </w:p>
    <w:p>
      <w:pPr>
        <w:spacing w:after="0" w:line="239" w:lineRule="exact"/>
        <w:rPr>
          <w:sz w:val="20"/>
          <w:szCs w:val="20"/>
          <w:color w:val="auto"/>
        </w:rPr>
      </w:pPr>
    </w:p>
    <w:p>
      <w:pPr>
        <w:ind w:left="321" w:hanging="321"/>
        <w:spacing w:after="0"/>
        <w:tabs>
          <w:tab w:leader="none" w:pos="321"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MetaVia Inc.;</w:t>
      </w:r>
    </w:p>
    <w:p>
      <w:pPr>
        <w:spacing w:after="0" w:line="238" w:lineRule="exact"/>
        <w:rPr>
          <w:rFonts w:ascii="Times New Roman" w:cs="Times New Roman" w:eastAsia="Times New Roman" w:hAnsi="Times New Roman"/>
          <w:sz w:val="18"/>
          <w:szCs w:val="18"/>
          <w:color w:val="auto"/>
        </w:rPr>
      </w:pPr>
    </w:p>
    <w:p>
      <w:pPr>
        <w:jc w:val="both"/>
        <w:ind w:left="321" w:right="20" w:hanging="321"/>
        <w:spacing w:after="0" w:line="258" w:lineRule="auto"/>
        <w:tabs>
          <w:tab w:leader="none" w:pos="321"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1"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1"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641" w:right="20" w:hanging="317"/>
        <w:spacing w:after="0" w:line="255" w:lineRule="auto"/>
        <w:tabs>
          <w:tab w:leader="none" w:pos="64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jc w:val="both"/>
        <w:ind w:left="641" w:right="20" w:hanging="317"/>
        <w:spacing w:after="0" w:line="266" w:lineRule="auto"/>
        <w:tabs>
          <w:tab w:leader="none" w:pos="64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641" w:right="20" w:hanging="317"/>
        <w:spacing w:after="0" w:line="266" w:lineRule="auto"/>
        <w:tabs>
          <w:tab w:leader="none" w:pos="64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41" w:right="20" w:hanging="317"/>
        <w:spacing w:after="0" w:line="261" w:lineRule="auto"/>
        <w:tabs>
          <w:tab w:leader="none" w:pos="64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1"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41" w:right="20" w:hanging="317"/>
        <w:spacing w:after="0" w:line="266" w:lineRule="auto"/>
        <w:tabs>
          <w:tab w:leader="none" w:pos="64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41" w:right="20" w:hanging="317"/>
        <w:spacing w:after="0" w:line="282" w:lineRule="auto"/>
        <w:tabs>
          <w:tab w:leader="none" w:pos="64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2025</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Hyung Heon Kim</w:t>
            </w:r>
          </w:p>
        </w:tc>
      </w:tr>
      <w:tr>
        <w:trPr>
          <w:trHeight w:val="191"/>
        </w:trPr>
        <w:tc>
          <w:tcPr>
            <w:tcW w:w="4280" w:type="dxa"/>
            <w:vAlign w:val="bottom"/>
          </w:tcPr>
          <w:p>
            <w:pPr>
              <w:spacing w:after="0"/>
              <w:rPr>
                <w:sz w:val="16"/>
                <w:szCs w:val="16"/>
                <w:color w:val="auto"/>
              </w:rPr>
            </w:pPr>
          </w:p>
        </w:tc>
        <w:tc>
          <w:tcPr>
            <w:tcW w:w="4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700" w:type="dxa"/>
            <w:vAlign w:val="bottom"/>
          </w:tcPr>
          <w:p>
            <w:pPr>
              <w:spacing w:after="0"/>
              <w:rPr>
                <w:sz w:val="16"/>
                <w:szCs w:val="16"/>
                <w:color w:val="auto"/>
              </w:rPr>
            </w:pPr>
          </w:p>
        </w:tc>
      </w:tr>
      <w:tr>
        <w:trPr>
          <w:trHeight w:val="234"/>
        </w:trPr>
        <w:tc>
          <w:tcPr>
            <w:tcW w:w="4280" w:type="dxa"/>
            <w:vAlign w:val="bottom"/>
          </w:tcPr>
          <w:p>
            <w:pPr>
              <w:spacing w:after="0"/>
              <w:rPr>
                <w:sz w:val="20"/>
                <w:szCs w:val="20"/>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21" w:right="1319" w:bottom="1440" w:gutter="0" w:footer="0" w:header="0"/>
        </w:sectPr>
      </w:pPr>
    </w:p>
    <w:bookmarkStart w:id="317" w:name="page318"/>
    <w:bookmarkEnd w:id="317"/>
    <w:p>
      <w:pPr>
        <w:jc w:val="right"/>
        <w:ind w:right="20"/>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27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Marshall H. Woodworth, certify that:</w:t>
      </w:r>
    </w:p>
    <w:p>
      <w:pPr>
        <w:spacing w:after="0" w:line="239" w:lineRule="exact"/>
        <w:rPr>
          <w:sz w:val="20"/>
          <w:szCs w:val="20"/>
          <w:color w:val="auto"/>
        </w:rPr>
      </w:pPr>
    </w:p>
    <w:p>
      <w:pPr>
        <w:ind w:left="321" w:hanging="321"/>
        <w:spacing w:after="0"/>
        <w:tabs>
          <w:tab w:leader="none" w:pos="32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MetaVia Inc.;</w:t>
      </w:r>
    </w:p>
    <w:p>
      <w:pPr>
        <w:spacing w:after="0" w:line="238" w:lineRule="exact"/>
        <w:rPr>
          <w:rFonts w:ascii="Times New Roman" w:cs="Times New Roman" w:eastAsia="Times New Roman" w:hAnsi="Times New Roman"/>
          <w:sz w:val="18"/>
          <w:szCs w:val="18"/>
          <w:color w:val="auto"/>
        </w:rPr>
      </w:pPr>
    </w:p>
    <w:p>
      <w:pPr>
        <w:jc w:val="both"/>
        <w:ind w:left="321" w:right="20" w:hanging="321"/>
        <w:spacing w:after="0" w:line="258" w:lineRule="auto"/>
        <w:tabs>
          <w:tab w:leader="none" w:pos="32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641" w:right="20" w:hanging="317"/>
        <w:spacing w:after="0" w:line="255" w:lineRule="auto"/>
        <w:tabs>
          <w:tab w:leader="none" w:pos="6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jc w:val="both"/>
        <w:ind w:left="641" w:right="20" w:hanging="317"/>
        <w:spacing w:after="0" w:line="266" w:lineRule="auto"/>
        <w:tabs>
          <w:tab w:leader="none" w:pos="6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641" w:right="20" w:hanging="317"/>
        <w:spacing w:after="0" w:line="266" w:lineRule="auto"/>
        <w:tabs>
          <w:tab w:leader="none" w:pos="6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41" w:right="20" w:hanging="317"/>
        <w:spacing w:after="0" w:line="261" w:lineRule="auto"/>
        <w:tabs>
          <w:tab w:leader="none" w:pos="6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21" w:right="20" w:hanging="321"/>
        <w:spacing w:after="0" w:line="266" w:lineRule="auto"/>
        <w:tabs>
          <w:tab w:leader="none" w:pos="32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41" w:right="20" w:hanging="317"/>
        <w:spacing w:after="0" w:line="266" w:lineRule="auto"/>
        <w:tabs>
          <w:tab w:leader="none" w:pos="6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41" w:right="20" w:hanging="317"/>
        <w:spacing w:after="0" w:line="282" w:lineRule="auto"/>
        <w:tabs>
          <w:tab w:leader="none" w:pos="64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2025</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Marshall H. Woodworth</w:t>
            </w:r>
          </w:p>
        </w:tc>
      </w:tr>
      <w:tr>
        <w:trPr>
          <w:trHeight w:val="191"/>
        </w:trPr>
        <w:tc>
          <w:tcPr>
            <w:tcW w:w="4280" w:type="dxa"/>
            <w:vAlign w:val="bottom"/>
          </w:tcPr>
          <w:p>
            <w:pPr>
              <w:spacing w:after="0"/>
              <w:rPr>
                <w:sz w:val="16"/>
                <w:szCs w:val="16"/>
                <w:color w:val="auto"/>
              </w:rPr>
            </w:pPr>
          </w:p>
        </w:tc>
        <w:tc>
          <w:tcPr>
            <w:tcW w:w="4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700" w:type="dxa"/>
            <w:vAlign w:val="bottom"/>
          </w:tcPr>
          <w:p>
            <w:pPr>
              <w:spacing w:after="0"/>
              <w:rPr>
                <w:sz w:val="16"/>
                <w:szCs w:val="16"/>
                <w:color w:val="auto"/>
              </w:rPr>
            </w:pPr>
          </w:p>
        </w:tc>
      </w:tr>
      <w:tr>
        <w:trPr>
          <w:trHeight w:val="234"/>
        </w:trPr>
        <w:tc>
          <w:tcPr>
            <w:tcW w:w="4280" w:type="dxa"/>
            <w:vAlign w:val="bottom"/>
          </w:tcPr>
          <w:p>
            <w:pPr>
              <w:spacing w:after="0"/>
              <w:rPr>
                <w:sz w:val="20"/>
                <w:szCs w:val="20"/>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2"/>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261"/>
          </w:cols>
          <w:pgMar w:left="1319" w:top="121" w:right="1319" w:bottom="1440" w:gutter="0" w:footer="0" w:header="0"/>
        </w:sectPr>
      </w:pPr>
    </w:p>
    <w:bookmarkStart w:id="318" w:name="page319"/>
    <w:bookmarkEnd w:id="318"/>
    <w:p>
      <w:pPr>
        <w:ind w:left="8360"/>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 Section 906 of the Sarbanes-Oxley Act of 2002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 1350)</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MetaVia Inc. (the “Company”) on Form 10-K for the year ended December 31, 2024 as filed with the Securities and Exchange Commission (the “Report”), I, Hyung Heon Kim, President and Chief Executive Officer, certify, pursuant to 18 U.S.C. § 1350, as adopted pursuant to § 906 of the Sarbanes-Oxley Act of 2002, that:</w:t>
      </w:r>
    </w:p>
    <w:p>
      <w:pPr>
        <w:spacing w:after="0" w:line="176" w:lineRule="exact"/>
        <w:rPr>
          <w:sz w:val="20"/>
          <w:szCs w:val="20"/>
          <w:color w:val="auto"/>
        </w:rPr>
      </w:pPr>
    </w:p>
    <w:p>
      <w:pPr>
        <w:ind w:left="640" w:right="340" w:hanging="317"/>
        <w:spacing w:after="0" w:line="282" w:lineRule="auto"/>
        <w:tabs>
          <w:tab w:leader="none" w:pos="6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right="360" w:hanging="317"/>
        <w:spacing w:after="0" w:line="282" w:lineRule="auto"/>
        <w:tabs>
          <w:tab w:leader="none" w:pos="64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2025</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Hyung Heon Kim</w:t>
            </w:r>
          </w:p>
        </w:tc>
      </w:tr>
      <w:tr>
        <w:trPr>
          <w:trHeight w:val="191"/>
        </w:trPr>
        <w:tc>
          <w:tcPr>
            <w:tcW w:w="4280" w:type="dxa"/>
            <w:vAlign w:val="bottom"/>
          </w:tcPr>
          <w:p>
            <w:pPr>
              <w:spacing w:after="0"/>
              <w:rPr>
                <w:sz w:val="16"/>
                <w:szCs w:val="16"/>
                <w:color w:val="auto"/>
              </w:rPr>
            </w:pPr>
          </w:p>
        </w:tc>
        <w:tc>
          <w:tcPr>
            <w:tcW w:w="4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700" w:type="dxa"/>
            <w:vAlign w:val="bottom"/>
          </w:tcPr>
          <w:p>
            <w:pPr>
              <w:spacing w:after="0"/>
              <w:rPr>
                <w:sz w:val="16"/>
                <w:szCs w:val="16"/>
                <w:color w:val="auto"/>
              </w:rPr>
            </w:pPr>
          </w:p>
        </w:tc>
      </w:tr>
      <w:tr>
        <w:trPr>
          <w:trHeight w:val="234"/>
        </w:trPr>
        <w:tc>
          <w:tcPr>
            <w:tcW w:w="4280" w:type="dxa"/>
            <w:vAlign w:val="bottom"/>
          </w:tcPr>
          <w:p>
            <w:pPr>
              <w:spacing w:after="0"/>
              <w:rPr>
                <w:sz w:val="20"/>
                <w:szCs w:val="20"/>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63"/>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121" w:right="1319" w:bottom="1440" w:gutter="0" w:footer="0" w:header="0"/>
        </w:sectPr>
      </w:pPr>
    </w:p>
    <w:bookmarkStart w:id="319" w:name="page320"/>
    <w:bookmarkEnd w:id="319"/>
    <w:p>
      <w:pPr>
        <w:ind w:left="8360"/>
        <w:spacing w:after="0"/>
        <w:rPr>
          <w:sz w:val="20"/>
          <w:szCs w:val="20"/>
          <w:color w:val="auto"/>
        </w:rPr>
      </w:pPr>
      <w:r>
        <w:rPr>
          <w:rFonts w:ascii="Times New Roman" w:cs="Times New Roman" w:eastAsia="Times New Roman" w:hAnsi="Times New Roman"/>
          <w:sz w:val="18"/>
          <w:szCs w:val="18"/>
          <w:color w:val="auto"/>
        </w:rPr>
        <w:t>Exhibit 32.2</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 Section 906 of the Sarbanes-Oxley Act of 2002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 1350)</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MetaVia Inc. (the “Company”) on Form 10-K for the year ended December 31, 2023 as filed with the Securities and Exchange Commission (the “Report”), I, Marshall H. Woodworth, Chief Financial Officer, certify, pursuant to 18 U.S.C. § 1350, as adopted pursuant to § 906 of the Sarbanes-Oxley Act of 2002, that:</w:t>
      </w:r>
    </w:p>
    <w:p>
      <w:pPr>
        <w:spacing w:after="0" w:line="189" w:lineRule="exact"/>
        <w:rPr>
          <w:sz w:val="20"/>
          <w:szCs w:val="20"/>
          <w:color w:val="auto"/>
        </w:rPr>
      </w:pPr>
    </w:p>
    <w:p>
      <w:pPr>
        <w:ind w:left="640" w:right="340" w:hanging="317"/>
        <w:spacing w:after="0" w:line="282" w:lineRule="auto"/>
        <w:tabs>
          <w:tab w:leader="none" w:pos="6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right="360" w:hanging="317"/>
        <w:spacing w:after="0" w:line="282" w:lineRule="auto"/>
        <w:tabs>
          <w:tab w:leader="none" w:pos="64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2025</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Marshall H. Woodworth</w:t>
            </w:r>
          </w:p>
        </w:tc>
      </w:tr>
      <w:tr>
        <w:trPr>
          <w:trHeight w:val="191"/>
        </w:trPr>
        <w:tc>
          <w:tcPr>
            <w:tcW w:w="4280" w:type="dxa"/>
            <w:vAlign w:val="bottom"/>
          </w:tcPr>
          <w:p>
            <w:pPr>
              <w:spacing w:after="0"/>
              <w:rPr>
                <w:sz w:val="16"/>
                <w:szCs w:val="16"/>
                <w:color w:val="auto"/>
              </w:rPr>
            </w:pPr>
          </w:p>
        </w:tc>
        <w:tc>
          <w:tcPr>
            <w:tcW w:w="42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c>
          <w:tcPr>
            <w:tcW w:w="700" w:type="dxa"/>
            <w:vAlign w:val="bottom"/>
          </w:tcPr>
          <w:p>
            <w:pPr>
              <w:spacing w:after="0"/>
              <w:rPr>
                <w:sz w:val="16"/>
                <w:szCs w:val="16"/>
                <w:color w:val="auto"/>
              </w:rPr>
            </w:pPr>
          </w:p>
        </w:tc>
      </w:tr>
      <w:tr>
        <w:trPr>
          <w:trHeight w:val="234"/>
        </w:trPr>
        <w:tc>
          <w:tcPr>
            <w:tcW w:w="4280" w:type="dxa"/>
            <w:vAlign w:val="bottom"/>
          </w:tcPr>
          <w:p>
            <w:pPr>
              <w:spacing w:after="0"/>
              <w:rPr>
                <w:sz w:val="20"/>
                <w:szCs w:val="20"/>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49"/>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121" w:right="1319" w:bottom="1440" w:gutter="0" w:footer="0" w:header="0"/>
        </w:sectPr>
      </w:pPr>
    </w:p>
    <w:bookmarkStart w:id="320" w:name="page321"/>
    <w:bookmarkEnd w:id="320"/>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5452110" cy="3257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0">
                      <a:extLst>
                        <a:ext uri="{28A0092B-C50C-407E-A947-70E740481C1C}"/>
                      </a:extLst>
                    </a:blip>
                    <a:srcRect/>
                    <a:stretch>
                      <a:fillRect/>
                    </a:stretch>
                  </pic:blipFill>
                  <pic:spPr bwMode="auto">
                    <a:xfrm>
                      <a:off x="0" y="0"/>
                      <a:ext cx="54521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olicy for the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ecovery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rroneously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warded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124460</wp:posOffset>
            </wp:positionV>
            <wp:extent cx="53479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1">
                      <a:extLst>
                        <a:ext uri="{28A0092B-C50C-407E-A947-70E740481C1C}"/>
                      </a:extLst>
                    </a:blip>
                    <a:srcRect/>
                    <a:stretch>
                      <a:fillRect/>
                    </a:stretch>
                  </pic:blipFill>
                  <pic:spPr bwMode="auto">
                    <a:xfrm>
                      <a:off x="0" y="0"/>
                      <a:ext cx="534797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Adopted and approved on November 2, 2023; and Amended as of November 29, 2024</w:t>
      </w:r>
    </w:p>
    <w:p>
      <w:pPr>
        <w:spacing w:after="0" w:line="204" w:lineRule="exact"/>
        <w:rPr>
          <w:sz w:val="20"/>
          <w:szCs w:val="20"/>
          <w:color w:val="auto"/>
        </w:rPr>
      </w:pPr>
    </w:p>
    <w:p>
      <w:pPr>
        <w:jc w:val="both"/>
        <w:ind w:left="200" w:right="219" w:firstLine="657"/>
        <w:spacing w:after="0" w:line="234" w:lineRule="auto"/>
        <w:tabs>
          <w:tab w:leader="none" w:pos="1496" w:val="left"/>
        </w:tabs>
        <w:numPr>
          <w:ilvl w:val="0"/>
          <w:numId w:val="4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of Directors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color w:val="auto"/>
        </w:rPr>
        <w:t>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eta</w:t>
      </w:r>
      <w:r>
        <w:rPr>
          <w:rFonts w:ascii="Times New Roman" w:cs="Times New Roman" w:eastAsia="Times New Roman" w:hAnsi="Times New Roman"/>
          <w:sz w:val="22"/>
          <w:szCs w:val="22"/>
          <w:color w:val="auto"/>
        </w:rPr>
        <w:t>V</w:t>
      </w:r>
      <w:r>
        <w:rPr>
          <w:rFonts w:ascii="Times New Roman" w:cs="Times New Roman" w:eastAsia="Times New Roman" w:hAnsi="Times New Roman"/>
          <w:sz w:val="14"/>
          <w:szCs w:val="14"/>
          <w:color w:val="auto"/>
        </w:rPr>
        <w:t>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believes that it is in the best interests of the Company and its stockholders to adopt this Policy for the Recovery of Erroneously Awarded Compensation, as may be amended from time to time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xml:space="preserve">). This Policy requires the recovery of Erroneously Awarded Compensation by the Company from Covered Executive Officers in accordance with the terms herein. Promptly, but in no event later than 30 days, following the later of the Effective Date or becoming a Covered Executive Officer, each Covered Executive Officer shall sign and return to the Company the Acknowledgement Form attached hereto as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14"/>
          <w:szCs w:val="14"/>
          <w:u w:val="single" w:color="auto"/>
          <w:color w:val="auto"/>
        </w:rPr>
        <w:t>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pursuant to which such Covered Executive Officer shall agree to be bound by the terms of and comply with this Policy. All capitalized terms used and not otherwise defined herein shall have the meanings set forth in Section 3 hereof.</w:t>
      </w:r>
    </w:p>
    <w:p>
      <w:pPr>
        <w:spacing w:after="0" w:line="204" w:lineRule="exact"/>
        <w:rPr>
          <w:rFonts w:ascii="Times New Roman" w:cs="Times New Roman" w:eastAsia="Times New Roman" w:hAnsi="Times New Roman"/>
          <w:sz w:val="22"/>
          <w:szCs w:val="22"/>
          <w:b w:val="1"/>
          <w:bCs w:val="1"/>
          <w:color w:val="auto"/>
        </w:rPr>
      </w:pPr>
    </w:p>
    <w:p>
      <w:pPr>
        <w:jc w:val="both"/>
        <w:ind w:left="200" w:right="219" w:firstLine="657"/>
        <w:spacing w:after="0" w:line="233" w:lineRule="auto"/>
        <w:tabs>
          <w:tab w:leader="none" w:pos="1496" w:val="left"/>
        </w:tabs>
        <w:numPr>
          <w:ilvl w:val="0"/>
          <w:numId w:val="4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administered by the Compensation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Board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xml:space="preserve">) or, if so designated by the Board, the Board or another committee thereof (the </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The Administrator is authorized to interpret and enforce this Policy and to make all determinations necessary, appropriate or advisable for the administration of this Policy. Any determinations made by the Administrator shall be final and binding on all affected persons and need not be uniform with respect to each person covered by this Policy. This Policy is designed to comply with, and shall be interpreted by the Administrator in a manner consistent with, Section 10D (</w:t>
      </w:r>
      <w:r>
        <w:rPr>
          <w:rFonts w:ascii="Times New Roman" w:cs="Times New Roman" w:eastAsia="Times New Roman" w:hAnsi="Times New Roman"/>
          <w:sz w:val="22"/>
          <w:szCs w:val="22"/>
          <w:b w:val="1"/>
          <w:bCs w:val="1"/>
          <w:i w:val="1"/>
          <w:iCs w:val="1"/>
          <w:color w:val="auto"/>
        </w:rPr>
        <w:t>“Section 10D”</w:t>
      </w:r>
      <w:r>
        <w:rPr>
          <w:rFonts w:ascii="Times New Roman" w:cs="Times New Roman" w:eastAsia="Times New Roman" w:hAnsi="Times New Roman"/>
          <w:sz w:val="22"/>
          <w:szCs w:val="22"/>
          <w:color w:val="auto"/>
        </w:rPr>
        <w:t xml:space="preserve">) of the Securities Exchange Act of 1934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Rule 10D-1 promulgated under the Exchange Act (</w:t>
      </w:r>
      <w:r>
        <w:rPr>
          <w:rFonts w:ascii="Times New Roman" w:cs="Times New Roman" w:eastAsia="Times New Roman" w:hAnsi="Times New Roman"/>
          <w:sz w:val="22"/>
          <w:szCs w:val="22"/>
          <w:b w:val="1"/>
          <w:bCs w:val="1"/>
          <w:i w:val="1"/>
          <w:iCs w:val="1"/>
          <w:color w:val="auto"/>
        </w:rPr>
        <w:t>“Rule 10D-1”</w:t>
      </w:r>
      <w:r>
        <w:rPr>
          <w:rFonts w:ascii="Times New Roman" w:cs="Times New Roman" w:eastAsia="Times New Roman" w:hAnsi="Times New Roman"/>
          <w:sz w:val="22"/>
          <w:szCs w:val="22"/>
          <w:color w:val="auto"/>
        </w:rPr>
        <w:t xml:space="preserve">) and Nasdaq Listing Rule 5608 (the </w:t>
      </w:r>
      <w:r>
        <w:rPr>
          <w:rFonts w:ascii="Times New Roman" w:cs="Times New Roman" w:eastAsia="Times New Roman" w:hAnsi="Times New Roman"/>
          <w:sz w:val="22"/>
          <w:szCs w:val="22"/>
          <w:b w:val="1"/>
          <w:bCs w:val="1"/>
          <w:i w:val="1"/>
          <w:iCs w:val="1"/>
          <w:color w:val="auto"/>
        </w:rPr>
        <w:t>“Listing Standards”</w:t>
      </w:r>
      <w:r>
        <w:rPr>
          <w:rFonts w:ascii="Times New Roman" w:cs="Times New Roman" w:eastAsia="Times New Roman" w:hAnsi="Times New Roman"/>
          <w:sz w:val="22"/>
          <w:szCs w:val="22"/>
          <w:color w:val="auto"/>
        </w:rPr>
        <w:t>), each as may be amended from time to time. In the administration of this Policy, the Administrator is authorized to consult with the full Board or other committees of the Board, as well as retain any counsel, advisors and consultants.</w:t>
      </w:r>
    </w:p>
    <w:p>
      <w:pPr>
        <w:spacing w:after="0" w:line="211" w:lineRule="exact"/>
        <w:rPr>
          <w:rFonts w:ascii="Times New Roman" w:cs="Times New Roman" w:eastAsia="Times New Roman" w:hAnsi="Times New Roman"/>
          <w:sz w:val="22"/>
          <w:szCs w:val="22"/>
          <w:b w:val="1"/>
          <w:bCs w:val="1"/>
          <w:color w:val="auto"/>
        </w:rPr>
      </w:pPr>
    </w:p>
    <w:p>
      <w:pPr>
        <w:ind w:left="200" w:right="219" w:firstLine="657"/>
        <w:spacing w:after="0" w:line="262" w:lineRule="auto"/>
        <w:tabs>
          <w:tab w:leader="none" w:pos="1496" w:val="left"/>
        </w:tabs>
        <w:numPr>
          <w:ilvl w:val="0"/>
          <w:numId w:val="4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purposes of this Policy, the following capitalized terms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meanings set forth below.</w:t>
      </w:r>
    </w:p>
    <w:p>
      <w:pPr>
        <w:spacing w:after="0" w:line="174" w:lineRule="exact"/>
        <w:rPr>
          <w:rFonts w:ascii="Times New Roman" w:cs="Times New Roman" w:eastAsia="Times New Roman" w:hAnsi="Times New Roman"/>
          <w:sz w:val="22"/>
          <w:szCs w:val="22"/>
          <w:b w:val="1"/>
          <w:bCs w:val="1"/>
          <w:color w:val="auto"/>
        </w:rPr>
      </w:pPr>
    </w:p>
    <w:p>
      <w:pPr>
        <w:jc w:val="both"/>
        <w:ind w:left="200" w:right="219" w:firstLine="1305"/>
        <w:spacing w:after="0" w:line="236" w:lineRule="auto"/>
        <w:tabs>
          <w:tab w:leader="none" w:pos="2144" w:val="left"/>
        </w:tabs>
        <w:numPr>
          <w:ilvl w:val="1"/>
          <w:numId w:val="4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“Accounting Restatement” </w:t>
      </w:r>
      <w:r>
        <w:rPr>
          <w:rFonts w:ascii="Times New Roman" w:cs="Times New Roman" w:eastAsia="Times New Roman" w:hAnsi="Times New Roman"/>
          <w:sz w:val="22"/>
          <w:szCs w:val="22"/>
          <w:color w:val="auto"/>
        </w:rPr>
        <w:t>means an accounting restatement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financial statements due to the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is not material to the previously issued financial statements but that would have resulted in a material misstatement if the error were corrected in the current period or left uncorrected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1" w:name="page322"/>
    <w:bookmarkEnd w:id="321"/>
    <w:p>
      <w:pPr>
        <w:jc w:val="both"/>
        <w:ind w:left="200" w:right="219" w:firstLine="1305"/>
        <w:spacing w:after="0" w:line="236" w:lineRule="auto"/>
        <w:tabs>
          <w:tab w:leader="none" w:pos="2144" w:val="left"/>
        </w:tabs>
        <w:numPr>
          <w:ilvl w:val="1"/>
          <w:numId w:val="4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“Clawback Eligible Incentive Compensation” </w:t>
      </w:r>
      <w:r>
        <w:rPr>
          <w:rFonts w:ascii="Times New Roman" w:cs="Times New Roman" w:eastAsia="Times New Roman" w:hAnsi="Times New Roman"/>
          <w:sz w:val="22"/>
          <w:szCs w:val="22"/>
          <w:color w:val="auto"/>
        </w:rPr>
        <w:t>means all Incentive-Based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Compensation Received by a Covered Executive Officer (i) on or after October 2, 2023, (ii) if that person served as an executive officer of the Company at any time during the performance period for such Incentive-Based Compensation (whether or not such executive officer is serving as an executive officer or employee of the Company at the time the Erroneously Awarded Compensation is required to be recovered by the Company), and (iii) while the Company had a class of securities listed on a national securities exchange or a national securities association.</w:t>
      </w:r>
    </w:p>
    <w:p>
      <w:pPr>
        <w:spacing w:after="0" w:line="202" w:lineRule="exact"/>
        <w:rPr>
          <w:rFonts w:ascii="Times New Roman" w:cs="Times New Roman" w:eastAsia="Times New Roman" w:hAnsi="Times New Roman"/>
          <w:sz w:val="22"/>
          <w:szCs w:val="22"/>
          <w:b w:val="1"/>
          <w:bCs w:val="1"/>
          <w:color w:val="auto"/>
        </w:rPr>
      </w:pPr>
    </w:p>
    <w:p>
      <w:pPr>
        <w:jc w:val="both"/>
        <w:ind w:left="200" w:right="219" w:firstLine="1305"/>
        <w:spacing w:after="0" w:line="256" w:lineRule="auto"/>
        <w:tabs>
          <w:tab w:leader="none" w:pos="2144" w:val="left"/>
        </w:tabs>
        <w:numPr>
          <w:ilvl w:val="1"/>
          <w:numId w:val="4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“Clawback Period” </w:t>
      </w:r>
      <w:r>
        <w:rPr>
          <w:rFonts w:ascii="Times New Roman" w:cs="Times New Roman" w:eastAsia="Times New Roman" w:hAnsi="Times New Roman"/>
          <w:sz w:val="21"/>
          <w:szCs w:val="21"/>
          <w:color w:val="auto"/>
        </w:rPr>
        <w:t>means with respect to any Accounting Restatement, (i)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three completed fiscal years of the Company immediately preceding the Restatement Date and</w:t>
      </w:r>
    </w:p>
    <w:p>
      <w:pPr>
        <w:jc w:val="both"/>
        <w:ind w:left="200" w:right="219" w:firstLine="9"/>
        <w:spacing w:after="0" w:line="234" w:lineRule="auto"/>
        <w:tabs>
          <w:tab w:leader="none" w:pos="53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transition period that results from a change in the Company’s fiscal year of less than nine months within or immediately following such three completed fiscal years, provided that a transition period that comprises a period of at least nine months shall count as a completed fiscal year.</w:t>
      </w:r>
    </w:p>
    <w:p>
      <w:pPr>
        <w:spacing w:after="0" w:line="198" w:lineRule="exact"/>
        <w:rPr>
          <w:rFonts w:ascii="Times New Roman" w:cs="Times New Roman" w:eastAsia="Times New Roman" w:hAnsi="Times New Roman"/>
          <w:sz w:val="22"/>
          <w:szCs w:val="22"/>
          <w:color w:val="auto"/>
        </w:rPr>
      </w:pPr>
    </w:p>
    <w:p>
      <w:pPr>
        <w:ind w:left="200" w:right="219" w:firstLine="1305"/>
        <w:spacing w:after="0" w:line="264" w:lineRule="auto"/>
        <w:tabs>
          <w:tab w:leader="none" w:pos="2144" w:val="left"/>
        </w:tabs>
        <w:numPr>
          <w:ilvl w:val="1"/>
          <w:numId w:val="4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“Code” </w:t>
      </w:r>
      <w:r>
        <w:rPr>
          <w:rFonts w:ascii="Times New Roman" w:cs="Times New Roman" w:eastAsia="Times New Roman" w:hAnsi="Times New Roman"/>
          <w:sz w:val="22"/>
          <w:szCs w:val="22"/>
          <w:color w:val="auto"/>
        </w:rPr>
        <w:t>means the Internal Revenue Code of 1986, as amended,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regulations and guidance issued thereunder.</w:t>
      </w:r>
    </w:p>
    <w:p>
      <w:pPr>
        <w:spacing w:after="0" w:line="172" w:lineRule="exact"/>
        <w:rPr>
          <w:rFonts w:ascii="Times New Roman" w:cs="Times New Roman" w:eastAsia="Times New Roman" w:hAnsi="Times New Roman"/>
          <w:sz w:val="22"/>
          <w:szCs w:val="22"/>
          <w:b w:val="1"/>
          <w:bCs w:val="1"/>
          <w:color w:val="auto"/>
        </w:rPr>
      </w:pPr>
    </w:p>
    <w:p>
      <w:pPr>
        <w:jc w:val="both"/>
        <w:ind w:left="200" w:right="219" w:firstLine="1305"/>
        <w:spacing w:after="0" w:line="237" w:lineRule="auto"/>
        <w:tabs>
          <w:tab w:leader="none" w:pos="2144" w:val="left"/>
        </w:tabs>
        <w:numPr>
          <w:ilvl w:val="1"/>
          <w:numId w:val="4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“Covered Executive Officer” </w:t>
      </w:r>
      <w:r>
        <w:rPr>
          <w:rFonts w:ascii="Times New Roman" w:cs="Times New Roman" w:eastAsia="Times New Roman" w:hAnsi="Times New Roman"/>
          <w:sz w:val="22"/>
          <w:szCs w:val="22"/>
          <w:color w:val="auto"/>
        </w:rPr>
        <w:t>means the Company’s current and former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executive officers, as determined by the Board or an applicable committee in accordance with the definition of “executive officer” set forth in Rule 10D-1 and the Listing Standards. Unless determined otherwise by the Board or the Administrator, Covered Executive Officers for this Policy shall be any person designated by the Board as an “officer” under Rule 16a-1(f) under the Exchange Act.</w:t>
      </w:r>
    </w:p>
    <w:p>
      <w:pPr>
        <w:spacing w:after="0" w:line="202"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4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“Effective Date” </w:t>
      </w:r>
      <w:r>
        <w:rPr>
          <w:rFonts w:ascii="Times New Roman" w:cs="Times New Roman" w:eastAsia="Times New Roman" w:hAnsi="Times New Roman"/>
          <w:sz w:val="22"/>
          <w:szCs w:val="22"/>
          <w:color w:val="auto"/>
        </w:rPr>
        <w:t>means November 2, 2023.</w:t>
      </w:r>
    </w:p>
    <w:p>
      <w:pPr>
        <w:spacing w:after="0" w:line="233" w:lineRule="exact"/>
        <w:rPr>
          <w:rFonts w:ascii="Times New Roman" w:cs="Times New Roman" w:eastAsia="Times New Roman" w:hAnsi="Times New Roman"/>
          <w:sz w:val="22"/>
          <w:szCs w:val="22"/>
          <w:b w:val="1"/>
          <w:bCs w:val="1"/>
          <w:color w:val="auto"/>
        </w:rPr>
      </w:pPr>
    </w:p>
    <w:p>
      <w:pPr>
        <w:jc w:val="both"/>
        <w:ind w:left="200" w:right="219" w:firstLine="1305"/>
        <w:spacing w:after="0" w:line="236" w:lineRule="auto"/>
        <w:tabs>
          <w:tab w:leader="none" w:pos="2144" w:val="left"/>
        </w:tabs>
        <w:numPr>
          <w:ilvl w:val="1"/>
          <w:numId w:val="4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with respect to each Covered Executive Officer and in connection with an Accounting Restatement, the amount of Clawback Eligible Incentive Compensation Received by the Covered Executive Officer during the Clawback Period that exceeds the amount of Clawback Eligible Incentive-Based Compensation that otherwise would have been Received by the Covered Executive Officer during the Clawback Period had it been determined based on the restated amounts, computed without regard to any taxes paid or payable by the Covered Executive Officer.</w:t>
      </w:r>
    </w:p>
    <w:p>
      <w:pPr>
        <w:spacing w:after="0" w:line="202" w:lineRule="exact"/>
        <w:rPr>
          <w:rFonts w:ascii="Times New Roman" w:cs="Times New Roman" w:eastAsia="Times New Roman" w:hAnsi="Times New Roman"/>
          <w:sz w:val="22"/>
          <w:szCs w:val="22"/>
          <w:b w:val="1"/>
          <w:bCs w:val="1"/>
          <w:color w:val="auto"/>
        </w:rPr>
      </w:pPr>
    </w:p>
    <w:p>
      <w:pPr>
        <w:jc w:val="both"/>
        <w:ind w:left="200" w:right="219" w:firstLine="1305"/>
        <w:spacing w:after="0" w:line="247" w:lineRule="auto"/>
        <w:tabs>
          <w:tab w:leader="none" w:pos="2144" w:val="left"/>
        </w:tabs>
        <w:numPr>
          <w:ilvl w:val="1"/>
          <w:numId w:val="4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“Financial Reporting Measures” </w:t>
      </w:r>
      <w:r>
        <w:rPr>
          <w:rFonts w:ascii="Times New Roman" w:cs="Times New Roman" w:eastAsia="Times New Roman" w:hAnsi="Times New Roman"/>
          <w:sz w:val="21"/>
          <w:szCs w:val="21"/>
          <w:color w:val="auto"/>
        </w:rPr>
        <w:t>means measures that are determined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presented in accordance with the accounting principles used in preparing the Company’s financial statements, and any other measures that are derived wholly or in part from such measures. Financial Reporting Measures include GAAP and non-GAAP financial measures and include but are not limited to the following (and any measures derived wholly or in part therefrom): Company stock price; total shareholder return; revenues; net or operating income; profitability of one or more reportable segments; financial ratios; net assets or net asset value per share; EBITDA; funds from operations; liquidity measures; return measures; earnings measures; sales per square foot or same store sales; revenue per user, or average revenue per user; and any adjusted measure of any of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9" w:right="1440" w:bottom="1440" w:gutter="0" w:footer="0" w:header="0"/>
        </w:sectPr>
      </w:pPr>
    </w:p>
    <w:bookmarkStart w:id="322" w:name="page323"/>
    <w:bookmarkEnd w:id="32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foregoing measures. For the avoidance of doubt, a Financial Reporting Measure need not be presented in the Company’s financial statements or included in a Company filing with the SEC.</w:t>
      </w:r>
    </w:p>
    <w:p>
      <w:pPr>
        <w:spacing w:after="0" w:line="179" w:lineRule="exact"/>
        <w:rPr>
          <w:sz w:val="20"/>
          <w:szCs w:val="20"/>
          <w:color w:val="auto"/>
        </w:rPr>
      </w:pPr>
    </w:p>
    <w:p>
      <w:pPr>
        <w:ind w:left="200" w:right="239" w:firstLine="1305"/>
        <w:spacing w:after="0" w:line="264" w:lineRule="auto"/>
        <w:tabs>
          <w:tab w:leader="none" w:pos="2144" w:val="left"/>
        </w:tabs>
        <w:numPr>
          <w:ilvl w:val="1"/>
          <w:numId w:val="4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“Group Companies” </w:t>
      </w:r>
      <w:r>
        <w:rPr>
          <w:rFonts w:ascii="Times New Roman" w:cs="Times New Roman" w:eastAsia="Times New Roman" w:hAnsi="Times New Roman"/>
          <w:sz w:val="22"/>
          <w:szCs w:val="22"/>
          <w:color w:val="auto"/>
        </w:rPr>
        <w:t>means any of the Company’s direct and indirect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Subsidiaries and affiliates.</w:t>
      </w:r>
    </w:p>
    <w:p>
      <w:pPr>
        <w:spacing w:after="0" w:line="172" w:lineRule="exact"/>
        <w:rPr>
          <w:rFonts w:ascii="Times New Roman" w:cs="Times New Roman" w:eastAsia="Times New Roman" w:hAnsi="Times New Roman"/>
          <w:sz w:val="22"/>
          <w:szCs w:val="22"/>
          <w:b w:val="1"/>
          <w:bCs w:val="1"/>
          <w:color w:val="auto"/>
        </w:rPr>
      </w:pPr>
    </w:p>
    <w:p>
      <w:pPr>
        <w:ind w:left="200" w:right="219" w:firstLine="1305"/>
        <w:spacing w:after="0" w:line="288" w:lineRule="auto"/>
        <w:tabs>
          <w:tab w:leader="none" w:pos="2144" w:val="left"/>
        </w:tabs>
        <w:numPr>
          <w:ilvl w:val="1"/>
          <w:numId w:val="4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“Incentive-Based Compensation” </w:t>
      </w:r>
      <w:r>
        <w:rPr>
          <w:rFonts w:ascii="Times New Roman" w:cs="Times New Roman" w:eastAsia="Times New Roman" w:hAnsi="Times New Roman"/>
          <w:sz w:val="21"/>
          <w:szCs w:val="21"/>
          <w:color w:val="auto"/>
        </w:rPr>
        <w:t>means any compensation that is granted,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earned or vested based wholly or in part upon the attainment of a Financial Reporting Measure.</w:t>
      </w:r>
    </w:p>
    <w:p>
      <w:pPr>
        <w:spacing w:after="0" w:line="149" w:lineRule="exact"/>
        <w:rPr>
          <w:rFonts w:ascii="Times New Roman" w:cs="Times New Roman" w:eastAsia="Times New Roman" w:hAnsi="Times New Roman"/>
          <w:sz w:val="21"/>
          <w:szCs w:val="21"/>
          <w:b w:val="1"/>
          <w:bCs w:val="1"/>
          <w:color w:val="auto"/>
        </w:rPr>
      </w:pPr>
    </w:p>
    <w:p>
      <w:pPr>
        <w:ind w:left="200" w:right="239" w:firstLine="1305"/>
        <w:spacing w:after="0" w:line="288" w:lineRule="auto"/>
        <w:tabs>
          <w:tab w:leader="none" w:pos="2144" w:val="left"/>
        </w:tabs>
        <w:numPr>
          <w:ilvl w:val="1"/>
          <w:numId w:val="4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“Nasdaq” </w:t>
      </w:r>
      <w:r>
        <w:rPr>
          <w:rFonts w:ascii="Times New Roman" w:cs="Times New Roman" w:eastAsia="Times New Roman" w:hAnsi="Times New Roman"/>
          <w:sz w:val="21"/>
          <w:szCs w:val="21"/>
          <w:color w:val="auto"/>
        </w:rPr>
        <w:t>means The Nasdaq Stock Market or any other national securities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exchange or association on which the Company’s securities are listed as of the applicable date.</w:t>
      </w:r>
    </w:p>
    <w:p>
      <w:pPr>
        <w:spacing w:after="0" w:line="149" w:lineRule="exact"/>
        <w:rPr>
          <w:rFonts w:ascii="Times New Roman" w:cs="Times New Roman" w:eastAsia="Times New Roman" w:hAnsi="Times New Roman"/>
          <w:sz w:val="21"/>
          <w:szCs w:val="21"/>
          <w:b w:val="1"/>
          <w:bCs w:val="1"/>
          <w:color w:val="auto"/>
        </w:rPr>
      </w:pPr>
    </w:p>
    <w:p>
      <w:pPr>
        <w:jc w:val="both"/>
        <w:ind w:left="200" w:right="219" w:firstLine="1305"/>
        <w:spacing w:after="0" w:line="235" w:lineRule="auto"/>
        <w:tabs>
          <w:tab w:leader="none" w:pos="2144" w:val="left"/>
        </w:tabs>
        <w:numPr>
          <w:ilvl w:val="1"/>
          <w:numId w:val="4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“Received” </w:t>
      </w:r>
      <w:r>
        <w:rPr>
          <w:rFonts w:ascii="Times New Roman" w:cs="Times New Roman" w:eastAsia="Times New Roman" w:hAnsi="Times New Roman"/>
          <w:sz w:val="22"/>
          <w:szCs w:val="22"/>
          <w:color w:val="auto"/>
        </w:rPr>
        <w:t>means with respect to any Incentive-Based Compensation,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actual or deemed receipt. Incentive-Based Compensation shall be deemed to be Received in the Company’s fiscal period during which the Financial Reporting Measure specified in the Incentive-Based Compensation award is attained, even if payment or grant of the earned Incentive-Based Compensation occurs after the end of the performance period. For the avoidance of doubt, Incentive-Based Compensation that is subject to both a Financial Reporting Measure vesting condition and a service-based vesting condition shall be considered Received when the relevant Financial Reporting Measure is attained, even if the Incentive-Based Compensation continues to be subject to the service-based vesting condition.</w:t>
      </w:r>
    </w:p>
    <w:p>
      <w:pPr>
        <w:spacing w:after="0" w:line="200" w:lineRule="exact"/>
        <w:rPr>
          <w:rFonts w:ascii="Times New Roman" w:cs="Times New Roman" w:eastAsia="Times New Roman" w:hAnsi="Times New Roman"/>
          <w:sz w:val="22"/>
          <w:szCs w:val="22"/>
          <w:b w:val="1"/>
          <w:bCs w:val="1"/>
          <w:color w:val="auto"/>
        </w:rPr>
      </w:pPr>
    </w:p>
    <w:p>
      <w:pPr>
        <w:jc w:val="both"/>
        <w:ind w:left="200" w:right="219" w:firstLine="1305"/>
        <w:spacing w:after="0" w:line="237" w:lineRule="auto"/>
        <w:tabs>
          <w:tab w:leader="none" w:pos="2144" w:val="left"/>
        </w:tabs>
        <w:numPr>
          <w:ilvl w:val="1"/>
          <w:numId w:val="4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“Restatement Date” </w:t>
      </w:r>
      <w:r>
        <w:rPr>
          <w:rFonts w:ascii="Times New Roman" w:cs="Times New Roman" w:eastAsia="Times New Roman" w:hAnsi="Times New Roman"/>
          <w:sz w:val="22"/>
          <w:szCs w:val="22"/>
          <w:color w:val="auto"/>
        </w:rPr>
        <w:t>means the earlier to occur of (i) the date that the Board,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committee thereof or any of the Company’s officers authorized to take such action if Board action is not required concluded, or reasonably should have concluded, that the Company is required to prepare an Accounting Restatement; or (ii) the date that a court, regulator or other legally authorized body directs the Company to prepare an Accounting Restatement, in each case regardless of when the restated financial statements are filed.</w:t>
      </w:r>
    </w:p>
    <w:p>
      <w:pPr>
        <w:spacing w:after="0" w:line="202"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4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“SEC” </w:t>
      </w:r>
      <w:r>
        <w:rPr>
          <w:rFonts w:ascii="Times New Roman" w:cs="Times New Roman" w:eastAsia="Times New Roman" w:hAnsi="Times New Roman"/>
          <w:sz w:val="22"/>
          <w:szCs w:val="22"/>
          <w:color w:val="auto"/>
        </w:rPr>
        <w:t>means the U.S. Securities and Exchange Commission.</w:t>
      </w:r>
    </w:p>
    <w:p>
      <w:pPr>
        <w:spacing w:after="0" w:line="233" w:lineRule="exact"/>
        <w:rPr>
          <w:rFonts w:ascii="Times New Roman" w:cs="Times New Roman" w:eastAsia="Times New Roman" w:hAnsi="Times New Roman"/>
          <w:sz w:val="22"/>
          <w:szCs w:val="22"/>
          <w:b w:val="1"/>
          <w:bCs w:val="1"/>
          <w:color w:val="auto"/>
        </w:rPr>
      </w:pPr>
    </w:p>
    <w:p>
      <w:pPr>
        <w:ind w:left="2160" w:hanging="655"/>
        <w:spacing w:after="0"/>
        <w:tabs>
          <w:tab w:leader="none" w:pos="2160" w:val="left"/>
        </w:tabs>
        <w:numPr>
          <w:ilvl w:val="1"/>
          <w:numId w:val="4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“Section 409A” </w:t>
      </w:r>
      <w:r>
        <w:rPr>
          <w:rFonts w:ascii="Times New Roman" w:cs="Times New Roman" w:eastAsia="Times New Roman" w:hAnsi="Times New Roman"/>
          <w:sz w:val="22"/>
          <w:szCs w:val="22"/>
          <w:color w:val="auto"/>
        </w:rPr>
        <w:t>means Section 409A of the Code.</w:t>
      </w:r>
    </w:p>
    <w:p>
      <w:pPr>
        <w:spacing w:after="0" w:line="235"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4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ecovery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rroneously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warded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jc w:val="both"/>
        <w:ind w:left="200" w:right="219" w:firstLine="1305"/>
        <w:spacing w:after="0" w:line="246" w:lineRule="auto"/>
        <w:tabs>
          <w:tab w:leader="none" w:pos="2144" w:val="left"/>
        </w:tabs>
        <w:numPr>
          <w:ilvl w:val="1"/>
          <w:numId w:val="4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of an Accounting Restatement, the Administrator shall reasonably promptly recover any Erroneously Awarded Compensation and in a manner set forth in this Section 4. In connection therewith, the Administrator shall reasonably promptly (A) determine the amount of any Erroneously Awarded Compensation for each Covered Executive Officer in connection with such Accounting Restatement and (B) thereafter provide each Covered Executive Officer with a written notice containing the amount of Erroneously Awarded Compensation, the applicable methodology and calculation of such amount, and the method of recovery, as applicable. Prior to sending any such formal demand for recovery as determined pursuant to this Policy, the Administrator may, in its sole discretion depending on the specific facts and circumstances, provide a Covered Executive Officer with an initial written notice containing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23" w:name="page324"/>
    <w:bookmarkEnd w:id="323"/>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the foregoing information, and may provide the Covered Executive Officer with the opportunity to be heard at a meeting or otherwise respond in writing to such information.</w:t>
      </w:r>
    </w:p>
    <w:p>
      <w:pPr>
        <w:spacing w:after="0" w:line="185" w:lineRule="exact"/>
        <w:rPr>
          <w:sz w:val="20"/>
          <w:szCs w:val="20"/>
          <w:color w:val="auto"/>
        </w:rPr>
      </w:pPr>
    </w:p>
    <w:p>
      <w:pPr>
        <w:jc w:val="both"/>
        <w:ind w:left="200" w:right="219" w:firstLine="1953"/>
        <w:spacing w:after="0" w:line="239" w:lineRule="auto"/>
        <w:tabs>
          <w:tab w:leader="none" w:pos="2792" w:val="left"/>
        </w:tabs>
        <w:numPr>
          <w:ilvl w:val="0"/>
          <w:numId w:val="4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Recovery under this Policy with respect to a Covered Executive Officer shall not require the finding of any misconduct by such Covered Executive Officer or such Covered Executive Officer being found responsible for the accounting error leading to an Accounting Restatement.</w:t>
      </w:r>
    </w:p>
    <w:p>
      <w:pPr>
        <w:spacing w:after="0" w:line="207" w:lineRule="exact"/>
        <w:rPr>
          <w:rFonts w:ascii="Times New Roman" w:cs="Times New Roman" w:eastAsia="Times New Roman" w:hAnsi="Times New Roman"/>
          <w:sz w:val="22"/>
          <w:szCs w:val="22"/>
          <w:b w:val="1"/>
          <w:bCs w:val="1"/>
          <w:color w:val="auto"/>
        </w:rPr>
      </w:pPr>
    </w:p>
    <w:p>
      <w:pPr>
        <w:jc w:val="both"/>
        <w:ind w:left="200" w:right="219" w:firstLine="1953"/>
        <w:spacing w:after="0" w:line="234" w:lineRule="auto"/>
        <w:tabs>
          <w:tab w:leader="none" w:pos="2792" w:val="left"/>
        </w:tabs>
        <w:numPr>
          <w:ilvl w:val="0"/>
          <w:numId w:val="4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Incentive-Based Compensation based on (or derived from) stock price or total shareholder return (or a similar Financial Reporting Measure)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(or such similar Financial Reporting Measure) upon which the Incentive-Based Compensation was Received; provided that the Company shall maintain documentation of the determination of such reasonable estimate and provide such documentation to Nasdaq.</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953"/>
        <w:spacing w:after="0" w:line="236" w:lineRule="auto"/>
        <w:tabs>
          <w:tab w:leader="none" w:pos="2792" w:val="left"/>
        </w:tabs>
        <w:numPr>
          <w:ilvl w:val="0"/>
          <w:numId w:val="4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 Incentive-Based Compensation is based only in part on the achievement of a Financial Reporting Measure, the Administrator shall first determine the portion of the original Incentive-Based Compensation that was based on the Financial Reporting Measure that was restated in the Accounting Restatement. The Administrator shall then recalculate the affected portion based on the Financial Reporting Measure as restated, and recover the Erroneously Awarded Compensation.</w:t>
      </w:r>
    </w:p>
    <w:p>
      <w:pPr>
        <w:spacing w:after="0" w:line="208"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0"/>
          <w:numId w:val="4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Erroneously Awarded Compensation for cash incentive awards determined for a pool of participants, the size of the aggregate pool from which individual awards were paid shall be reduced by applying the Financial Reporting Measure that was restated in the Accounting Restatement, and the individual awards shall be reduced on a pro rata basis (with recovery required from the Covered Executive Officers only).</w:t>
      </w:r>
    </w:p>
    <w:p>
      <w:pPr>
        <w:spacing w:after="0" w:line="203"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0"/>
          <w:numId w:val="4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204" w:lineRule="exact"/>
        <w:rPr>
          <w:sz w:val="20"/>
          <w:szCs w:val="20"/>
          <w:color w:val="auto"/>
        </w:rPr>
      </w:pPr>
    </w:p>
    <w:p>
      <w:pPr>
        <w:jc w:val="both"/>
        <w:ind w:left="200" w:right="219" w:firstLine="1305"/>
        <w:spacing w:after="0" w:line="244" w:lineRule="auto"/>
        <w:tabs>
          <w:tab w:leader="none" w:pos="2144" w:val="left"/>
        </w:tabs>
        <w:numPr>
          <w:ilvl w:val="1"/>
          <w:numId w:val="4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Administrator shall have broad discretion to determine the appropriate timing and means of recovery of Erroneously Awarded Compensation based on the particular facts and circumstances, subject to applicable law, including but not limited to (i) requiring reimbursement of all or part of any paid cash award, (ii) seeking recovery or forfeiture of any gain realized on the vesting, exercise, settlement, sale, transfer or other disposition of any equity-based awards, (iii) cancelling or reducing any outstanding cash or equity-based awards, whether vested or unvested, (iv) cancelling or offsetting against any planned future cash or equity-based awards,</w:t>
      </w:r>
    </w:p>
    <w:p>
      <w:pPr>
        <w:spacing w:after="0" w:line="6" w:lineRule="exact"/>
        <w:rPr>
          <w:rFonts w:ascii="Times New Roman" w:cs="Times New Roman" w:eastAsia="Times New Roman" w:hAnsi="Times New Roman"/>
          <w:sz w:val="21"/>
          <w:szCs w:val="21"/>
          <w:b w:val="1"/>
          <w:bCs w:val="1"/>
          <w:color w:val="auto"/>
        </w:rPr>
      </w:pPr>
    </w:p>
    <w:p>
      <w:pPr>
        <w:jc w:val="both"/>
        <w:ind w:left="200" w:right="219" w:firstLine="9"/>
        <w:spacing w:after="0" w:line="258" w:lineRule="auto"/>
        <w:tabs>
          <w:tab w:leader="none" w:pos="575" w:val="left"/>
        </w:tabs>
        <w:numPr>
          <w:ilvl w:val="0"/>
          <w:numId w:val="4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forfeiture of deferred compensation, (vi) offsetting any compensation amount otherwise payable by the Company (or the Group Companies) to the Covered Executive Officer in the future,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24" w:name="page325"/>
    <w:bookmarkEnd w:id="324"/>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and (vii) any other method authorized by applicable law or contract as determined by the Administrator. Any method elected by the Administrator shall comply with Section 409A or as required by applicable law. For the avoidance of doubt, except as set forth in Section 4(d) hereof, in no event may the Company accept an amount that is less than the amount of Erroneously Awarded Compensation in satisfaction of a Covered Executive Officer’s obligations hereunder.</w:t>
      </w:r>
    </w:p>
    <w:p>
      <w:pPr>
        <w:spacing w:after="0" w:line="204" w:lineRule="exact"/>
        <w:rPr>
          <w:sz w:val="20"/>
          <w:szCs w:val="20"/>
          <w:color w:val="auto"/>
        </w:rPr>
      </w:pPr>
    </w:p>
    <w:p>
      <w:pPr>
        <w:jc w:val="both"/>
        <w:ind w:left="200" w:right="219" w:firstLine="1305"/>
        <w:spacing w:after="0" w:line="248" w:lineRule="auto"/>
        <w:tabs>
          <w:tab w:leader="none" w:pos="2144" w:val="left"/>
        </w:tabs>
        <w:numPr>
          <w:ilvl w:val="1"/>
          <w:numId w:val="4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the extent that a Covered Executive Officer fails to repay all Erroneously Awarded Compensation to the Company when due (as determined in accordance with Section 4(b) hereof), the Company shall take all reasonable and appropriate actions to recover such Erroneously Awarded Compensation from the applicable Covered Executive Officer. The applicable Covered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97" w:lineRule="exact"/>
        <w:rPr>
          <w:rFonts w:ascii="Times New Roman" w:cs="Times New Roman" w:eastAsia="Times New Roman" w:hAnsi="Times New Roman"/>
          <w:sz w:val="21"/>
          <w:szCs w:val="21"/>
          <w:b w:val="1"/>
          <w:bCs w:val="1"/>
          <w:color w:val="auto"/>
        </w:rPr>
      </w:pPr>
    </w:p>
    <w:p>
      <w:pPr>
        <w:jc w:val="both"/>
        <w:ind w:left="200" w:right="219" w:firstLine="1305"/>
        <w:spacing w:after="0" w:line="235" w:lineRule="auto"/>
        <w:tabs>
          <w:tab w:leader="none" w:pos="2144" w:val="left"/>
        </w:tabs>
        <w:numPr>
          <w:ilvl w:val="1"/>
          <w:numId w:val="4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herein to the contrary, the Company shall not be required to recover Erroneously Awarded Compensation, including taking the actions contemplated by this Section 4, if the Compensation Committee (or, if the Compensation Committee is not composed solely of independent directors under the Listing Standards, a majority of independent directors serving on the Board) determines that recovery would be impracticable solely for one of the following limited reasons and subject to the procedural and disclosure requirements below and in the applicable rules:</w:t>
      </w:r>
    </w:p>
    <w:p>
      <w:pPr>
        <w:spacing w:after="0" w:line="210" w:lineRule="exact"/>
        <w:rPr>
          <w:rFonts w:ascii="Times New Roman" w:cs="Times New Roman" w:eastAsia="Times New Roman" w:hAnsi="Times New Roman"/>
          <w:sz w:val="22"/>
          <w:szCs w:val="22"/>
          <w:b w:val="1"/>
          <w:bCs w:val="1"/>
          <w:color w:val="auto"/>
        </w:rPr>
      </w:pPr>
    </w:p>
    <w:p>
      <w:pPr>
        <w:jc w:val="both"/>
        <w:ind w:left="200" w:right="219" w:firstLine="1953"/>
        <w:spacing w:after="0" w:line="238" w:lineRule="auto"/>
        <w:tabs>
          <w:tab w:leader="none" w:pos="2792" w:val="left"/>
        </w:tabs>
        <w:numPr>
          <w:ilvl w:val="2"/>
          <w:numId w:val="4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direct expenses paid to a third party to assist in enforcing this Policy against a Covered Executive Officer would exceed the amount of Erroneously Awarded Compensation, after the Company has made a reasonable attempt to recover the applicable Erroneously Awarded Compensation, documented such attempt and provided such documentation to Nasdaq; or</w:t>
      </w:r>
    </w:p>
    <w:p>
      <w:pPr>
        <w:spacing w:after="0" w:line="203"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2"/>
          <w:numId w:val="4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Recovery would likely cause a tax-qualified retirement plan, under which benefits are broadly available to employees of the Company (or the Group Companies),to fail to meet the requirements of Section 401(a)(13) or Section 411(a) of the Code.</w:t>
      </w:r>
    </w:p>
    <w:p>
      <w:pPr>
        <w:spacing w:after="0" w:line="196" w:lineRule="exact"/>
        <w:rPr>
          <w:rFonts w:ascii="Times New Roman" w:cs="Times New Roman" w:eastAsia="Times New Roman" w:hAnsi="Times New Roman"/>
          <w:sz w:val="22"/>
          <w:szCs w:val="22"/>
          <w:b w:val="1"/>
          <w:bCs w:val="1"/>
          <w:color w:val="auto"/>
        </w:rPr>
      </w:pPr>
    </w:p>
    <w:p>
      <w:pPr>
        <w:jc w:val="both"/>
        <w:ind w:left="200" w:right="219" w:firstLine="657"/>
        <w:spacing w:after="0" w:line="246" w:lineRule="auto"/>
        <w:tabs>
          <w:tab w:leader="none" w:pos="1496" w:val="left"/>
        </w:tabs>
        <w:numPr>
          <w:ilvl w:val="0"/>
          <w:numId w:val="4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eporting and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isclosure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file all disclosures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in accordance with federal securities laws, including the disclosure required in any applicable SEC filings.</w:t>
      </w:r>
    </w:p>
    <w:p>
      <w:pPr>
        <w:spacing w:after="0" w:line="194"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4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ndemnification  and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nsurance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(or  the  Group</w:t>
      </w:r>
    </w:p>
    <w:p>
      <w:pPr>
        <w:spacing w:after="0" w:line="18" w:lineRule="exact"/>
        <w:rPr>
          <w:rFonts w:ascii="Times New Roman" w:cs="Times New Roman" w:eastAsia="Times New Roman" w:hAnsi="Times New Roman"/>
          <w:sz w:val="22"/>
          <w:szCs w:val="22"/>
          <w:b w:val="1"/>
          <w:bCs w:val="1"/>
          <w:color w:val="auto"/>
        </w:rPr>
      </w:pPr>
    </w:p>
    <w:p>
      <w:pPr>
        <w:jc w:val="both"/>
        <w:ind w:left="200" w:right="219"/>
        <w:spacing w:after="0" w:line="23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Companies) shall not insure (or reimburse for the purchase of insurance) or indemnify any Covered Executive Officer against (i) the loss of any Erroneously Awarded Compensation that is repaid, returned, recovered, cancelled or forfeited pursuant to the terms of this Policy, or (ii) any claims relating to the Company’s enforcement of its rights under this Policy. Further, the Company (or the Group Companies)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25" w:name="page326"/>
    <w:bookmarkEnd w:id="325"/>
    <w:p>
      <w:pPr>
        <w:jc w:val="both"/>
        <w:ind w:left="200" w:right="219" w:firstLine="657"/>
        <w:spacing w:after="0" w:line="241" w:lineRule="auto"/>
        <w:tabs>
          <w:tab w:leader="none" w:pos="1496" w:val="left"/>
        </w:tabs>
        <w:numPr>
          <w:ilvl w:val="0"/>
          <w:numId w:val="4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effective as of the Effective Date.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the Administrator may affect recovery under this Policy from any amount of compensation approved, awarded, granted, payable or paid to the Covered Executive prior to, on or after the Effective Date.</w:t>
      </w:r>
    </w:p>
    <w:p>
      <w:pPr>
        <w:spacing w:after="0" w:line="198" w:lineRule="exact"/>
        <w:rPr>
          <w:rFonts w:ascii="Times New Roman" w:cs="Times New Roman" w:eastAsia="Times New Roman" w:hAnsi="Times New Roman"/>
          <w:sz w:val="22"/>
          <w:szCs w:val="22"/>
          <w:b w:val="1"/>
          <w:bCs w:val="1"/>
          <w:color w:val="auto"/>
        </w:rPr>
      </w:pPr>
    </w:p>
    <w:p>
      <w:pPr>
        <w:jc w:val="both"/>
        <w:ind w:left="200" w:right="219" w:firstLine="657"/>
        <w:spacing w:after="0" w:line="235" w:lineRule="auto"/>
        <w:tabs>
          <w:tab w:leader="none" w:pos="1496" w:val="left"/>
        </w:tabs>
        <w:numPr>
          <w:ilvl w:val="0"/>
          <w:numId w:val="4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or Administrator may amend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in its discretion and shall amend this Policy as it deems necessary, including as and when it determines that it is legally required by any federal securities laws or Nasdaq rules or to comply with (or maintain an exemption from the application of) Section 409A. The Board or Administrator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spacing w:after="0" w:line="200" w:lineRule="exact"/>
        <w:rPr>
          <w:rFonts w:ascii="Times New Roman" w:cs="Times New Roman" w:eastAsia="Times New Roman" w:hAnsi="Times New Roman"/>
          <w:sz w:val="22"/>
          <w:szCs w:val="22"/>
          <w:b w:val="1"/>
          <w:bCs w:val="1"/>
          <w:color w:val="auto"/>
        </w:rPr>
      </w:pPr>
    </w:p>
    <w:p>
      <w:pPr>
        <w:ind w:left="1500" w:hanging="643"/>
        <w:spacing w:after="0"/>
        <w:tabs>
          <w:tab w:leader="none" w:pos="1500" w:val="left"/>
        </w:tabs>
        <w:numPr>
          <w:ilvl w:val="0"/>
          <w:numId w:val="4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ecoupment</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employment</w:t>
      </w:r>
    </w:p>
    <w:p>
      <w:pPr>
        <w:spacing w:after="0" w:line="18" w:lineRule="exact"/>
        <w:rPr>
          <w:rFonts w:ascii="Times New Roman" w:cs="Times New Roman" w:eastAsia="Times New Roman" w:hAnsi="Times New Roman"/>
          <w:sz w:val="22"/>
          <w:szCs w:val="22"/>
          <w:b w:val="1"/>
          <w:bCs w:val="1"/>
          <w:color w:val="auto"/>
        </w:rPr>
      </w:pPr>
    </w:p>
    <w:p>
      <w:pPr>
        <w:jc w:val="both"/>
        <w:ind w:left="200" w:right="219"/>
        <w:spacing w:after="0" w:line="23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 cash or equity-based award agreement, compensatory plan or any other agreement or arrangement with a Covered Executive Officer shall be deemed to include, as a condition to the grant of any benefit thereunder, an agreement by the Covered Executive Officer to abide by the terms of this Policy. Any right of recoupment under this Policy is in addition to, and not in lieu of, any other remedies or rights of recoupment that may be available to the Company (or the Group Companies), including under applicable law, regulation or rule or pursuant to the terms of any employment or severance agreement, cash or equity-based award agreement, plan or policy, or similar agreement, plan or policy with the Company (or the Group Companies). To the extent that the Covered Executive Officer has already reimbursed the Company (or the Group Companies) for any Erroneously Awarded Compensation Received under any duplicative recovery obligations established by the Company (or the Group Companies) and subject to applicable law, such reimbursed amount shall be credited to the amount of Erroneously Awarded Compensation that is subject to recovery under this Policy.</w:t>
      </w:r>
    </w:p>
    <w:p>
      <w:pPr>
        <w:spacing w:after="0" w:line="208" w:lineRule="exact"/>
        <w:rPr>
          <w:rFonts w:ascii="Times New Roman" w:cs="Times New Roman" w:eastAsia="Times New Roman" w:hAnsi="Times New Roman"/>
          <w:sz w:val="22"/>
          <w:szCs w:val="22"/>
          <w:b w:val="1"/>
          <w:bCs w:val="1"/>
          <w:color w:val="auto"/>
        </w:rPr>
      </w:pPr>
    </w:p>
    <w:p>
      <w:pPr>
        <w:jc w:val="both"/>
        <w:ind w:left="200" w:right="219" w:firstLine="657"/>
        <w:spacing w:after="0" w:line="238" w:lineRule="auto"/>
        <w:tabs>
          <w:tab w:leader="none" w:pos="1496" w:val="left"/>
        </w:tabs>
        <w:numPr>
          <w:ilvl w:val="0"/>
          <w:numId w:val="4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in this Policy are intended to be applied to the fullest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204" w:lineRule="exact"/>
        <w:rPr>
          <w:sz w:val="20"/>
          <w:szCs w:val="20"/>
          <w:color w:val="auto"/>
        </w:rPr>
      </w:pPr>
    </w:p>
    <w:p>
      <w:pPr>
        <w:jc w:val="both"/>
        <w:ind w:left="280" w:right="219" w:firstLine="641"/>
        <w:spacing w:after="0" w:line="246" w:lineRule="auto"/>
        <w:tabs>
          <w:tab w:leader="none" w:pos="1511" w:val="left"/>
        </w:tabs>
        <w:numPr>
          <w:ilvl w:val="0"/>
          <w:numId w:val="4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binding and enforceable against all Covered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Officers and their beneficiaries, heirs, executors, administrators or other legal representatives.</w:t>
      </w:r>
    </w:p>
    <w:p>
      <w:pPr>
        <w:spacing w:after="0" w:line="198" w:lineRule="exact"/>
        <w:rPr>
          <w:sz w:val="20"/>
          <w:szCs w:val="20"/>
          <w:color w:val="auto"/>
        </w:rPr>
      </w:pPr>
    </w:p>
    <w:p>
      <w:pPr>
        <w:ind w:left="3700"/>
        <w:spacing w:after="0"/>
        <w:tabs>
          <w:tab w:leader="none" w:pos="4400" w:val="left"/>
          <w:tab w:leader="none" w:pos="50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326" w:name="page327"/>
    <w:bookmarkEnd w:id="32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xhibit</w:t>
      </w:r>
      <w:r>
        <w:rPr>
          <w:rFonts w:ascii="Times New Roman" w:cs="Times New Roman" w:eastAsia="Times New Roman" w:hAnsi="Times New Roman"/>
          <w:sz w:val="22"/>
          <w:szCs w:val="22"/>
          <w:b w:val="1"/>
          <w:bCs w:val="1"/>
          <w:u w:val="single" w:color="auto"/>
          <w:color w:val="auto"/>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168275</wp:posOffset>
            </wp:positionV>
            <wp:extent cx="1774190" cy="3003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8">
                      <a:extLst>
                        <a:ext uri="{28A0092B-C50C-407E-A947-70E740481C1C}"/>
                      </a:extLst>
                    </a:blip>
                    <a:srcRect/>
                    <a:stretch>
                      <a:fillRect/>
                    </a:stretch>
                  </pic:blipFill>
                  <pic:spPr bwMode="auto">
                    <a:xfrm>
                      <a:off x="0" y="0"/>
                      <a:ext cx="17741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eta</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ia</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olicy for the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ecovery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rroneously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overed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fficer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cknowledgement</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orm</w:t>
      </w:r>
    </w:p>
    <w:p>
      <w:pPr>
        <w:spacing w:after="0" w:line="209"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By signing below, the undersigned acknowledges and confirms that the undersigned has received and reviewed a copy of the MetaVia Inc. Policy for the Recovery of Erroneously Awarded Compensation (as may be amended, restated, supplemented or otherwise modified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xml:space="preserve">). Capitalized terms used but not otherwise defined in this Acknowledgement Form (the </w:t>
      </w:r>
      <w:r>
        <w:rPr>
          <w:rFonts w:ascii="Times New Roman" w:cs="Times New Roman" w:eastAsia="Times New Roman" w:hAnsi="Times New Roman"/>
          <w:sz w:val="22"/>
          <w:szCs w:val="22"/>
          <w:b w:val="1"/>
          <w:bCs w:val="1"/>
          <w:i w:val="1"/>
          <w:i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208"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and agrees that the undersigned is and will continue to be subject to the Policy and that the Policy will apply both during and after the undersigned’s employment with the Company (or the Group Companies). In the event of any inconsistency between the Policy and the terms of any employment or separation agreement to which I am a party, or the terms of any compensation or severance plan, program or agreement under which any compensation has been granted, awarded, earned or paid, the terms of the Policy shall govern. In the event it is determined by the Administrator that the Erroneously Awarded Compensation must be returned, forfeited or reimbursed to the Company, I will promptly take any action necessary to effectuate such recovery in any manner permitted by the Policy and determined by the Administrator.</w:t>
      </w:r>
    </w:p>
    <w:p>
      <w:pPr>
        <w:spacing w:after="0" w:line="200" w:lineRule="exact"/>
        <w:rPr>
          <w:sz w:val="20"/>
          <w:szCs w:val="20"/>
          <w:color w:val="auto"/>
        </w:rPr>
      </w:pPr>
    </w:p>
    <w:p>
      <w:pPr>
        <w:spacing w:after="0" w:line="24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Name/Title</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Date</w:t>
      </w:r>
      <w:r>
        <w:rPr>
          <w:rFonts w:ascii="Times New Roman" w:cs="Times New Roman" w:eastAsia="Times New Roman" w:hAnsi="Times New Roman"/>
          <w:sz w:val="22"/>
          <w:szCs w:val="22"/>
          <w:color w:val="auto"/>
        </w:rPr>
        <w: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CA6B462"/>
    <w:multiLevelType w:val="hybridMultilevel"/>
    <w:lvl w:ilvl="0">
      <w:lvlJc w:val="left"/>
      <w:lvlText w:val="☒"/>
      <w:numFmt w:val="bullet"/>
      <w:start w:val="1"/>
    </w:lvl>
  </w:abstractNum>
  <w:abstractNum w:abstractNumId="1">
    <w:nsid w:val="763CB680"/>
    <w:multiLevelType w:val="hybridMultilevel"/>
    <w:lvl w:ilvl="0">
      <w:lvlJc w:val="left"/>
      <w:lvlText w:val="☐"/>
      <w:numFmt w:val="bullet"/>
      <w:start w:val="1"/>
    </w:lvl>
  </w:abstractNum>
  <w:abstractNum w:abstractNumId="2">
    <w:nsid w:val="15B71329"/>
    <w:multiLevelType w:val="hybridMultilevel"/>
    <w:lvl w:ilvl="0">
      <w:lvlJc w:val="left"/>
      <w:lvlText w:val="●"/>
      <w:numFmt w:val="bullet"/>
      <w:start w:val="1"/>
    </w:lvl>
  </w:abstractNum>
  <w:abstractNum w:abstractNumId="3">
    <w:nsid w:val="3DA97044"/>
    <w:multiLevelType w:val="hybridMultilevel"/>
    <w:lvl w:ilvl="0">
      <w:lvlJc w:val="left"/>
      <w:lvlText w:val="●"/>
      <w:numFmt w:val="bullet"/>
      <w:start w:val="1"/>
    </w:lvl>
  </w:abstractNum>
  <w:abstractNum w:abstractNumId="4">
    <w:nsid w:val="1CDCE2DE"/>
    <w:multiLevelType w:val="hybridMultilevel"/>
    <w:lvl w:ilvl="0">
      <w:lvlJc w:val="left"/>
      <w:lvlText w:val="●"/>
      <w:numFmt w:val="bullet"/>
      <w:start w:val="1"/>
    </w:lvl>
  </w:abstractNum>
  <w:abstractNum w:abstractNumId="5">
    <w:nsid w:val="69D3947C"/>
    <w:multiLevelType w:val="hybridMultilevel"/>
    <w:lvl w:ilvl="0">
      <w:lvlJc w:val="left"/>
      <w:lvlText w:val="●"/>
      <w:numFmt w:val="bullet"/>
      <w:start w:val="1"/>
    </w:lvl>
    <w:lvl w:ilvl="1">
      <w:lvlJc w:val="left"/>
      <w:lvlText w:val="o"/>
      <w:numFmt w:val="bullet"/>
      <w:start w:val="1"/>
    </w:lvl>
  </w:abstractNum>
  <w:abstractNum w:abstractNumId="6">
    <w:nsid w:val="2539DFA5"/>
    <w:multiLevelType w:val="hybridMultilevel"/>
    <w:lvl w:ilvl="0">
      <w:lvlJc w:val="left"/>
      <w:lvlText w:val="●"/>
      <w:numFmt w:val="bullet"/>
      <w:start w:val="1"/>
    </w:lvl>
  </w:abstractNum>
  <w:abstractNum w:abstractNumId="7">
    <w:nsid w:val="2DB88089"/>
    <w:multiLevelType w:val="hybridMultilevel"/>
    <w:lvl w:ilvl="0">
      <w:lvlJc w:val="left"/>
      <w:lvlText w:val="●"/>
      <w:numFmt w:val="bullet"/>
      <w:start w:val="1"/>
    </w:lvl>
  </w:abstractNum>
  <w:abstractNum w:abstractNumId="8">
    <w:nsid w:val="706B674E"/>
    <w:multiLevelType w:val="hybridMultilevel"/>
    <w:lvl w:ilvl="0">
      <w:lvlJc w:val="left"/>
      <w:lvlText w:val="●"/>
      <w:numFmt w:val="bullet"/>
      <w:start w:val="1"/>
    </w:lvl>
  </w:abstractNum>
  <w:abstractNum w:abstractNumId="9">
    <w:nsid w:val="2C106A57"/>
    <w:multiLevelType w:val="hybridMultilevel"/>
    <w:lvl w:ilvl="0">
      <w:lvlJc w:val="left"/>
      <w:lvlText w:val="●"/>
      <w:numFmt w:val="bullet"/>
      <w:start w:val="1"/>
    </w:lvl>
  </w:abstractNum>
  <w:abstractNum w:abstractNumId="10">
    <w:nsid w:val="684EED59"/>
    <w:multiLevelType w:val="hybridMultilevel"/>
    <w:lvl w:ilvl="0">
      <w:lvlJc w:val="left"/>
      <w:lvlText w:val="●"/>
      <w:numFmt w:val="bullet"/>
      <w:start w:val="1"/>
    </w:lvl>
  </w:abstractNum>
  <w:abstractNum w:abstractNumId="11">
    <w:nsid w:val="545EE5D3"/>
    <w:multiLevelType w:val="hybridMultilevel"/>
    <w:lvl w:ilvl="0">
      <w:lvlJc w:val="left"/>
      <w:lvlText w:val="*"/>
      <w:numFmt w:val="bullet"/>
      <w:start w:val="1"/>
    </w:lvl>
  </w:abstractNum>
  <w:abstractNum w:abstractNumId="12">
    <w:nsid w:val="4A66051"/>
    <w:multiLevelType w:val="hybridMultilevel"/>
    <w:lvl w:ilvl="0">
      <w:lvlJc w:val="left"/>
      <w:lvlText w:val="*"/>
      <w:numFmt w:val="bullet"/>
      <w:start w:val="1"/>
    </w:lvl>
  </w:abstractNum>
  <w:abstractNum w:abstractNumId="13">
    <w:nsid w:val="20F4BDAD"/>
    <w:multiLevelType w:val="hybridMultilevel"/>
    <w:lvl w:ilvl="0">
      <w:lvlJc w:val="left"/>
      <w:lvlText w:val="*"/>
      <w:numFmt w:val="bullet"/>
      <w:start w:val="1"/>
    </w:lvl>
  </w:abstractNum>
  <w:abstractNum w:abstractNumId="14">
    <w:nsid w:val="639DEFAC"/>
    <w:multiLevelType w:val="hybridMultilevel"/>
    <w:lvl w:ilvl="0">
      <w:lvlJc w:val="left"/>
      <w:lvlText w:val="(%1)"/>
      <w:numFmt w:val="lowerRoman"/>
      <w:start w:val="3"/>
    </w:lvl>
  </w:abstractNum>
  <w:abstractNum w:abstractNumId="15">
    <w:nsid w:val="501F9786"/>
    <w:multiLevelType w:val="hybridMultilevel"/>
    <w:lvl w:ilvl="0">
      <w:lvlJc w:val="left"/>
      <w:lvlText w:val="%1."/>
      <w:numFmt w:val="decimal"/>
      <w:start w:val="1"/>
    </w:lvl>
  </w:abstractNum>
  <w:abstractNum w:abstractNumId="16">
    <w:nsid w:val="6B057295"/>
    <w:multiLevelType w:val="hybridMultilevel"/>
    <w:lvl w:ilvl="0">
      <w:lvlJc w:val="left"/>
      <w:lvlText w:val="(%1)"/>
      <w:numFmt w:val="lowerRoman"/>
      <w:start w:val="2"/>
    </w:lvl>
  </w:abstractNum>
  <w:abstractNum w:abstractNumId="17">
    <w:nsid w:val="2771AC80"/>
    <w:multiLevelType w:val="hybridMultilevel"/>
    <w:lvl w:ilvl="0">
      <w:lvlJc w:val="left"/>
      <w:lvlText w:val="●"/>
      <w:numFmt w:val="bullet"/>
      <w:start w:val="1"/>
    </w:lvl>
  </w:abstractNum>
  <w:abstractNum w:abstractNumId="18">
    <w:nsid w:val="1C4A08EC"/>
    <w:multiLevelType w:val="hybridMultilevel"/>
    <w:lvl w:ilvl="0">
      <w:lvlJc w:val="left"/>
      <w:lvlText w:val="(%1)"/>
      <w:numFmt w:val="decimal"/>
      <w:start w:val="2"/>
    </w:lvl>
  </w:abstractNum>
  <w:abstractNum w:abstractNumId="19">
    <w:nsid w:val="1958BD17"/>
    <w:multiLevelType w:val="hybridMultilevel"/>
    <w:lvl w:ilvl="0">
      <w:lvlJc w:val="left"/>
      <w:lvlText w:val="(%1)"/>
      <w:numFmt w:val="decimal"/>
      <w:start w:val="2"/>
    </w:lvl>
  </w:abstractNum>
  <w:abstractNum w:abstractNumId="20">
    <w:nsid w:val="4E647FE4"/>
    <w:multiLevelType w:val="hybridMultilevel"/>
    <w:lvl w:ilvl="0">
      <w:lvlJc w:val="left"/>
      <w:lvlText w:val="●"/>
      <w:numFmt w:val="bullet"/>
      <w:start w:val="1"/>
    </w:lvl>
  </w:abstractNum>
  <w:abstractNum w:abstractNumId="21">
    <w:nsid w:val="E0BB885"/>
    <w:multiLevelType w:val="hybridMultilevel"/>
    <w:lvl w:ilvl="0">
      <w:lvlJc w:val="left"/>
      <w:lvlText w:val="●"/>
      <w:numFmt w:val="bullet"/>
      <w:start w:val="1"/>
    </w:lvl>
  </w:abstractNum>
  <w:abstractNum w:abstractNumId="22">
    <w:nsid w:val="565976F1"/>
    <w:multiLevelType w:val="hybridMultilevel"/>
    <w:lvl w:ilvl="0">
      <w:lvlJc w:val="left"/>
      <w:lvlText w:val="●"/>
      <w:numFmt w:val="bullet"/>
      <w:start w:val="1"/>
    </w:lvl>
  </w:abstractNum>
  <w:abstractNum w:abstractNumId="23">
    <w:nsid w:val="64212B8C"/>
    <w:multiLevelType w:val="hybridMultilevel"/>
    <w:lvl w:ilvl="0">
      <w:lvlJc w:val="left"/>
      <w:lvlText w:val="●"/>
      <w:numFmt w:val="bullet"/>
      <w:start w:val="1"/>
    </w:lvl>
  </w:abstractNum>
  <w:abstractNum w:abstractNumId="24">
    <w:nsid w:val="5C17530C"/>
    <w:multiLevelType w:val="hybridMultilevel"/>
    <w:lvl w:ilvl="0">
      <w:lvlJc w:val="left"/>
      <w:lvlText w:val="●"/>
      <w:numFmt w:val="bullet"/>
      <w:start w:val="1"/>
    </w:lvl>
  </w:abstractNum>
  <w:abstractNum w:abstractNumId="25">
    <w:nsid w:val="19A52566"/>
    <w:multiLevelType w:val="hybridMultilevel"/>
    <w:lvl w:ilvl="0">
      <w:lvlJc w:val="left"/>
      <w:lvlText w:val="●"/>
      <w:numFmt w:val="bullet"/>
      <w:start w:val="1"/>
    </w:lvl>
  </w:abstractNum>
  <w:abstractNum w:abstractNumId="26">
    <w:nsid w:val="335A1DF1"/>
    <w:multiLevelType w:val="hybridMultilevel"/>
    <w:lvl w:ilvl="0">
      <w:lvlJc w:val="left"/>
      <w:lvlText w:val="●"/>
      <w:numFmt w:val="bullet"/>
      <w:start w:val="1"/>
    </w:lvl>
  </w:abstractNum>
  <w:abstractNum w:abstractNumId="27">
    <w:nsid w:val="28677B7C"/>
    <w:multiLevelType w:val="hybridMultilevel"/>
    <w:lvl w:ilvl="0">
      <w:lvlJc w:val="left"/>
      <w:lvlText w:val="●"/>
      <w:numFmt w:val="bullet"/>
      <w:start w:val="1"/>
    </w:lvl>
  </w:abstractNum>
  <w:abstractNum w:abstractNumId="28">
    <w:nsid w:val="378D97C0"/>
    <w:multiLevelType w:val="hybridMultilevel"/>
    <w:lvl w:ilvl="0">
      <w:lvlJc w:val="left"/>
      <w:lvlText w:val="●"/>
      <w:numFmt w:val="bullet"/>
      <w:start w:val="1"/>
    </w:lvl>
  </w:abstractNum>
  <w:abstractNum w:abstractNumId="29">
    <w:nsid w:val="1D91467C"/>
    <w:multiLevelType w:val="hybridMultilevel"/>
    <w:lvl w:ilvl="0">
      <w:lvlJc w:val="left"/>
      <w:lvlText w:val="●"/>
      <w:numFmt w:val="bullet"/>
      <w:start w:val="1"/>
    </w:lvl>
  </w:abstractNum>
  <w:abstractNum w:abstractNumId="30">
    <w:nsid w:val="316032BB"/>
    <w:multiLevelType w:val="hybridMultilevel"/>
    <w:lvl w:ilvl="0">
      <w:lvlJc w:val="left"/>
      <w:lvlText w:val="●"/>
      <w:numFmt w:val="bullet"/>
      <w:start w:val="1"/>
    </w:lvl>
  </w:abstractNum>
  <w:abstractNum w:abstractNumId="31">
    <w:nsid w:val="44344C22"/>
    <w:multiLevelType w:val="hybridMultilevel"/>
    <w:lvl w:ilvl="0">
      <w:lvlJc w:val="left"/>
      <w:lvlText w:val="●"/>
      <w:numFmt w:val="bullet"/>
      <w:start w:val="1"/>
    </w:lvl>
  </w:abstractNum>
  <w:abstractNum w:abstractNumId="32">
    <w:nsid w:val="13CDFCFC"/>
    <w:multiLevelType w:val="hybridMultilevel"/>
    <w:lvl w:ilvl="0">
      <w:lvlJc w:val="left"/>
      <w:lvlText w:val="●"/>
      <w:numFmt w:val="bullet"/>
      <w:start w:val="1"/>
    </w:lvl>
  </w:abstractNum>
  <w:abstractNum w:abstractNumId="33">
    <w:nsid w:val="471745E4"/>
    <w:multiLevelType w:val="hybridMultilevel"/>
    <w:lvl w:ilvl="0">
      <w:lvlJc w:val="left"/>
      <w:lvlText w:val="●"/>
      <w:numFmt w:val="bullet"/>
      <w:start w:val="1"/>
    </w:lvl>
  </w:abstractNum>
  <w:abstractNum w:abstractNumId="34">
    <w:nsid w:val="1DDBC66"/>
    <w:multiLevelType w:val="hybridMultilevel"/>
    <w:lvl w:ilvl="0">
      <w:lvlJc w:val="left"/>
      <w:lvlText w:val="●"/>
      <w:numFmt w:val="bullet"/>
      <w:start w:val="1"/>
    </w:lvl>
  </w:abstractNum>
  <w:abstractNum w:abstractNumId="35">
    <w:nsid w:val="30AADFDA"/>
    <w:multiLevelType w:val="hybridMultilevel"/>
    <w:lvl w:ilvl="0">
      <w:lvlJc w:val="left"/>
      <w:lvlText w:val="●"/>
      <w:numFmt w:val="bullet"/>
      <w:start w:val="1"/>
    </w:lvl>
  </w:abstractNum>
  <w:abstractNum w:abstractNumId="36">
    <w:nsid w:val="30EADA61"/>
    <w:multiLevelType w:val="hybridMultilevel"/>
    <w:lvl w:ilvl="0">
      <w:lvlJc w:val="left"/>
      <w:lvlText w:val="●"/>
      <w:numFmt w:val="bullet"/>
      <w:start w:val="1"/>
    </w:lvl>
  </w:abstractNum>
  <w:abstractNum w:abstractNumId="37">
    <w:nsid w:val="27179C0B"/>
    <w:multiLevelType w:val="hybridMultilevel"/>
    <w:lvl w:ilvl="0">
      <w:lvlJc w:val="left"/>
      <w:lvlText w:val="●"/>
      <w:numFmt w:val="bullet"/>
      <w:start w:val="1"/>
    </w:lvl>
  </w:abstractNum>
  <w:abstractNum w:abstractNumId="38">
    <w:nsid w:val="5E636063"/>
    <w:multiLevelType w:val="hybridMultilevel"/>
    <w:lvl w:ilvl="0">
      <w:lvlJc w:val="left"/>
      <w:lvlText w:val="●"/>
      <w:numFmt w:val="bullet"/>
      <w:start w:val="1"/>
    </w:lvl>
  </w:abstractNum>
  <w:abstractNum w:abstractNumId="39">
    <w:nsid w:val="215641AF"/>
    <w:multiLevelType w:val="hybridMultilevel"/>
    <w:lvl w:ilvl="0">
      <w:lvlJc w:val="left"/>
      <w:lvlText w:val="●"/>
      <w:numFmt w:val="bullet"/>
      <w:start w:val="1"/>
    </w:lvl>
  </w:abstractNum>
  <w:abstractNum w:abstractNumId="40">
    <w:nsid w:val="53280662"/>
    <w:multiLevelType w:val="hybridMultilevel"/>
    <w:lvl w:ilvl="0">
      <w:lvlJc w:val="left"/>
      <w:lvlText w:val="●"/>
      <w:numFmt w:val="bullet"/>
      <w:start w:val="1"/>
    </w:lvl>
  </w:abstractNum>
  <w:abstractNum w:abstractNumId="41">
    <w:nsid w:val="46B24DBC"/>
    <w:multiLevelType w:val="hybridMultilevel"/>
    <w:lvl w:ilvl="0">
      <w:lvlJc w:val="left"/>
      <w:lvlText w:val="●"/>
      <w:numFmt w:val="bullet"/>
      <w:start w:val="1"/>
    </w:lvl>
  </w:abstractNum>
  <w:abstractNum w:abstractNumId="42">
    <w:nsid w:val="75B52783"/>
    <w:multiLevelType w:val="hybridMultilevel"/>
    <w:lvl w:ilvl="0">
      <w:lvlJc w:val="left"/>
      <w:lvlText w:val="●"/>
      <w:numFmt w:val="bullet"/>
      <w:start w:val="1"/>
    </w:lvl>
  </w:abstractNum>
  <w:abstractNum w:abstractNumId="43">
    <w:nsid w:val="57CE66B4"/>
    <w:multiLevelType w:val="hybridMultilevel"/>
    <w:lvl w:ilvl="0">
      <w:lvlJc w:val="left"/>
      <w:lvlText w:val="●"/>
      <w:numFmt w:val="bullet"/>
      <w:start w:val="1"/>
    </w:lvl>
  </w:abstractNum>
  <w:abstractNum w:abstractNumId="44">
    <w:nsid w:val="67A70B69"/>
    <w:multiLevelType w:val="hybridMultilevel"/>
    <w:lvl w:ilvl="0">
      <w:lvlJc w:val="left"/>
      <w:lvlText w:val="●"/>
      <w:numFmt w:val="bullet"/>
      <w:start w:val="1"/>
    </w:lvl>
  </w:abstractNum>
  <w:abstractNum w:abstractNumId="45">
    <w:nsid w:val="5953172F"/>
    <w:multiLevelType w:val="hybridMultilevel"/>
    <w:lvl w:ilvl="0">
      <w:lvlJc w:val="left"/>
      <w:lvlText w:val="●"/>
      <w:numFmt w:val="bullet"/>
      <w:start w:val="1"/>
    </w:lvl>
  </w:abstractNum>
  <w:abstractNum w:abstractNumId="46">
    <w:nsid w:val="27EDFE3A"/>
    <w:multiLevelType w:val="hybridMultilevel"/>
    <w:lvl w:ilvl="0">
      <w:lvlJc w:val="left"/>
      <w:lvlText w:val="●"/>
      <w:numFmt w:val="bullet"/>
      <w:start w:val="1"/>
    </w:lvl>
  </w:abstractNum>
  <w:abstractNum w:abstractNumId="47">
    <w:nsid w:val="52AC7DFF"/>
    <w:multiLevelType w:val="hybridMultilevel"/>
    <w:lvl w:ilvl="0">
      <w:lvlJc w:val="left"/>
      <w:lvlText w:val="●"/>
      <w:numFmt w:val="bullet"/>
      <w:start w:val="1"/>
    </w:lvl>
  </w:abstractNum>
  <w:abstractNum w:abstractNumId="48">
    <w:nsid w:val="C4C3AF"/>
    <w:multiLevelType w:val="hybridMultilevel"/>
    <w:lvl w:ilvl="0">
      <w:lvlJc w:val="left"/>
      <w:lvlText w:val="●"/>
      <w:numFmt w:val="bullet"/>
      <w:start w:val="1"/>
    </w:lvl>
  </w:abstractNum>
  <w:abstractNum w:abstractNumId="49">
    <w:nsid w:val="44380727"/>
    <w:multiLevelType w:val="hybridMultilevel"/>
    <w:lvl w:ilvl="0">
      <w:lvlJc w:val="left"/>
      <w:lvlText w:val="●"/>
      <w:numFmt w:val="bullet"/>
      <w:start w:val="1"/>
    </w:lvl>
  </w:abstractNum>
  <w:abstractNum w:abstractNumId="50">
    <w:nsid w:val="6C053B16"/>
    <w:multiLevelType w:val="hybridMultilevel"/>
    <w:lvl w:ilvl="0">
      <w:lvlJc w:val="left"/>
      <w:lvlText w:val="●"/>
      <w:numFmt w:val="bullet"/>
      <w:start w:val="1"/>
    </w:lvl>
  </w:abstractNum>
  <w:abstractNum w:abstractNumId="51">
    <w:nsid w:val="4F294393"/>
    <w:multiLevelType w:val="hybridMultilevel"/>
    <w:lvl w:ilvl="0">
      <w:lvlJc w:val="left"/>
      <w:lvlText w:val="●"/>
      <w:numFmt w:val="bullet"/>
      <w:start w:val="1"/>
    </w:lvl>
  </w:abstractNum>
  <w:abstractNum w:abstractNumId="52">
    <w:nsid w:val="5243BFAC"/>
    <w:multiLevelType w:val="hybridMultilevel"/>
    <w:lvl w:ilvl="0">
      <w:lvlJc w:val="left"/>
      <w:lvlText w:val="●"/>
      <w:numFmt w:val="bullet"/>
      <w:start w:val="1"/>
    </w:lvl>
  </w:abstractNum>
  <w:abstractNum w:abstractNumId="53">
    <w:nsid w:val="425EB207"/>
    <w:multiLevelType w:val="hybridMultilevel"/>
    <w:lvl w:ilvl="0">
      <w:lvlJc w:val="left"/>
      <w:lvlText w:val="●"/>
      <w:numFmt w:val="bullet"/>
      <w:start w:val="1"/>
    </w:lvl>
  </w:abstractNum>
  <w:abstractNum w:abstractNumId="54">
    <w:nsid w:val="334A6F1F"/>
    <w:multiLevelType w:val="hybridMultilevel"/>
    <w:lvl w:ilvl="0">
      <w:lvlJc w:val="left"/>
      <w:lvlText w:val="(%1)"/>
      <w:numFmt w:val="lowerRoman"/>
      <w:start w:val="3"/>
    </w:lvl>
  </w:abstractNum>
  <w:abstractNum w:abstractNumId="55">
    <w:nsid w:val="2E5B12B8"/>
    <w:multiLevelType w:val="hybridMultilevel"/>
    <w:lvl w:ilvl="0">
      <w:lvlJc w:val="left"/>
      <w:lvlText w:val="(%1)"/>
      <w:numFmt w:val="lowerRoman"/>
      <w:start w:val="2"/>
    </w:lvl>
  </w:abstractNum>
  <w:abstractNum w:abstractNumId="56">
    <w:nsid w:val="5C03D76D"/>
    <w:multiLevelType w:val="hybridMultilevel"/>
    <w:lvl w:ilvl="0">
      <w:lvlJc w:val="left"/>
      <w:lvlText w:val="●"/>
      <w:numFmt w:val="bullet"/>
      <w:start w:val="1"/>
    </w:lvl>
  </w:abstractNum>
  <w:abstractNum w:abstractNumId="57">
    <w:nsid w:val="66A48D11"/>
    <w:multiLevelType w:val="hybridMultilevel"/>
    <w:lvl w:ilvl="0">
      <w:lvlJc w:val="left"/>
      <w:lvlText w:val="●"/>
      <w:numFmt w:val="bullet"/>
      <w:start w:val="1"/>
    </w:lvl>
  </w:abstractNum>
  <w:abstractNum w:abstractNumId="58">
    <w:nsid w:val="56C28E34"/>
    <w:multiLevelType w:val="hybridMultilevel"/>
    <w:lvl w:ilvl="0">
      <w:lvlJc w:val="left"/>
      <w:lvlText w:val="%1"/>
      <w:numFmt w:val="decimal"/>
      <w:start w:val="1"/>
    </w:lvl>
    <w:lvl w:ilvl="1">
      <w:lvlJc w:val="left"/>
      <w:lvlText w:val="(%2)"/>
      <w:numFmt w:val="decimal"/>
      <w:start w:val="1"/>
    </w:lvl>
  </w:abstractNum>
  <w:abstractNum w:abstractNumId="59">
    <w:nsid w:val="13916F2D"/>
    <w:multiLevelType w:val="hybridMultilevel"/>
    <w:lvl w:ilvl="0">
      <w:lvlJc w:val="left"/>
      <w:lvlText w:val="(%1)"/>
      <w:numFmt w:val="decimal"/>
      <w:start w:val="2"/>
    </w:lvl>
    <w:lvl w:ilvl="1">
      <w:lvlJc w:val="left"/>
      <w:lvlText w:val="%2"/>
      <w:numFmt w:val="decimal"/>
      <w:start w:val="1"/>
    </w:lvl>
  </w:abstractNum>
  <w:abstractNum w:abstractNumId="60">
    <w:nsid w:val="435D38D"/>
    <w:multiLevelType w:val="hybridMultilevel"/>
    <w:lvl w:ilvl="0">
      <w:lvlJc w:val="left"/>
      <w:lvlText w:val="(%1)"/>
      <w:numFmt w:val="decimal"/>
      <w:start w:val="1"/>
    </w:lvl>
    <w:lvl w:ilvl="1">
      <w:lvlJc w:val="left"/>
      <w:lvlText w:val="(%2)"/>
      <w:numFmt w:val="decimal"/>
      <w:start w:val="3"/>
    </w:lvl>
  </w:abstractNum>
  <w:abstractNum w:abstractNumId="61">
    <w:nsid w:val="822C0EF"/>
    <w:multiLevelType w:val="hybridMultilevel"/>
    <w:lvl w:ilvl="0">
      <w:lvlJc w:val="left"/>
      <w:lvlText w:val="(%1)"/>
      <w:numFmt w:val="decimal"/>
      <w:start w:val="1"/>
    </w:lvl>
  </w:abstractNum>
  <w:abstractNum w:abstractNumId="62">
    <w:nsid w:val="57C5BB4F"/>
    <w:multiLevelType w:val="hybridMultilevel"/>
    <w:lvl w:ilvl="0">
      <w:lvlJc w:val="left"/>
      <w:lvlText w:val="(%1)"/>
      <w:numFmt w:val="decimal"/>
      <w:start w:val="2"/>
    </w:lvl>
  </w:abstractNum>
  <w:abstractNum w:abstractNumId="63">
    <w:nsid w:val="1803D089"/>
    <w:multiLevelType w:val="hybridMultilevel"/>
    <w:lvl w:ilvl="0">
      <w:lvlJc w:val="left"/>
      <w:lvlText w:val="●"/>
      <w:numFmt w:val="bullet"/>
      <w:start w:val="1"/>
    </w:lvl>
  </w:abstractNum>
  <w:abstractNum w:abstractNumId="64">
    <w:nsid w:val="4F3A06D4"/>
    <w:multiLevelType w:val="hybridMultilevel"/>
    <w:lvl w:ilvl="0">
      <w:lvlJc w:val="left"/>
      <w:lvlText w:val="(%1)"/>
      <w:numFmt w:val="decimal"/>
      <w:start w:val="1"/>
    </w:lvl>
  </w:abstractNum>
  <w:abstractNum w:abstractNumId="65">
    <w:nsid w:val="59A377B6"/>
    <w:multiLevelType w:val="hybridMultilevel"/>
    <w:lvl w:ilvl="0">
      <w:lvlJc w:val="left"/>
      <w:lvlText w:val="(%1)"/>
      <w:numFmt w:val="decimal"/>
      <w:start w:val="8"/>
    </w:lvl>
  </w:abstractNum>
  <w:abstractNum w:abstractNumId="66">
    <w:nsid w:val="48AEB063"/>
    <w:multiLevelType w:val="hybridMultilevel"/>
    <w:lvl w:ilvl="0">
      <w:lvlJc w:val="left"/>
      <w:lvlText w:val="(%1)"/>
      <w:numFmt w:val="decimal"/>
      <w:start w:val="1"/>
    </w:lvl>
  </w:abstractNum>
  <w:abstractNum w:abstractNumId="67">
    <w:nsid w:val="24E135"/>
    <w:multiLevelType w:val="hybridMultilevel"/>
    <w:lvl w:ilvl="0">
      <w:lvlJc w:val="left"/>
      <w:lvlText w:val="(%1)"/>
      <w:numFmt w:val="decimal"/>
      <w:start w:val="2"/>
    </w:lvl>
  </w:abstractNum>
  <w:abstractNum w:abstractNumId="68">
    <w:nsid w:val="BB13C1"/>
    <w:multiLevelType w:val="hybridMultilevel"/>
    <w:lvl w:ilvl="0">
      <w:lvlJc w:val="left"/>
      <w:lvlText w:val="(%1)"/>
      <w:numFmt w:val="lowerRoman"/>
      <w:start w:val="1"/>
    </w:lvl>
  </w:abstractNum>
  <w:abstractNum w:abstractNumId="69">
    <w:nsid w:val="271210C7"/>
    <w:multiLevelType w:val="hybridMultilevel"/>
    <w:lvl w:ilvl="0">
      <w:lvlJc w:val="left"/>
      <w:lvlText w:val="(%1)"/>
      <w:numFmt w:val="lowerLetter"/>
      <w:start w:val="1"/>
    </w:lvl>
    <w:lvl w:ilvl="1">
      <w:lvlJc w:val="left"/>
      <w:lvlText w:val="(%2)"/>
      <w:numFmt w:val="decimal"/>
      <w:start w:val="1"/>
    </w:lvl>
  </w:abstractNum>
  <w:abstractNum w:abstractNumId="70">
    <w:nsid w:val="217B22E4"/>
    <w:multiLevelType w:val="hybridMultilevel"/>
    <w:lvl w:ilvl="0">
      <w:lvlJc w:val="left"/>
      <w:lvlText w:val="#"/>
      <w:numFmt w:val="bullet"/>
      <w:start w:val="1"/>
    </w:lvl>
  </w:abstractNum>
  <w:abstractNum w:abstractNumId="71">
    <w:nsid w:val="53E31A24"/>
    <w:multiLevelType w:val="hybridMultilevel"/>
    <w:lvl w:ilvl="0">
      <w:lvlJc w:val="left"/>
      <w:lvlText w:val="*"/>
      <w:numFmt w:val="bullet"/>
      <w:start w:val="1"/>
    </w:lvl>
  </w:abstractNum>
  <w:abstractNum w:abstractNumId="72">
    <w:nsid w:val="6DC45E83"/>
    <w:multiLevelType w:val="hybridMultilevel"/>
    <w:lvl w:ilvl="0">
      <w:lvlJc w:val="left"/>
      <w:lvlText w:val="**"/>
      <w:numFmt w:val="bullet"/>
      <w:start w:val="1"/>
    </w:lvl>
  </w:abstractNum>
  <w:abstractNum w:abstractNumId="73">
    <w:nsid w:val="17304A67"/>
    <w:multiLevelType w:val="hybridMultilevel"/>
    <w:lvl w:ilvl="0">
      <w:lvlJc w:val="left"/>
      <w:lvlText w:val="+"/>
      <w:numFmt w:val="bullet"/>
      <w:start w:val="1"/>
    </w:lvl>
  </w:abstractNum>
  <w:abstractNum w:abstractNumId="74">
    <w:nsid w:val="2BB180D8"/>
    <w:multiLevelType w:val="hybridMultilevel"/>
    <w:lvl w:ilvl="0">
      <w:lvlJc w:val="left"/>
      <w:lvlText w:val="++"/>
      <w:numFmt w:val="bullet"/>
      <w:start w:val="1"/>
    </w:lvl>
  </w:abstractNum>
  <w:abstractNum w:abstractNumId="75">
    <w:nsid w:val="556B69ED"/>
    <w:multiLevelType w:val="hybridMultilevel"/>
    <w:lvl w:ilvl="0">
      <w:lvlJc w:val="left"/>
      <w:lvlText w:val="+++"/>
      <w:numFmt w:val="bullet"/>
      <w:start w:val="1"/>
    </w:lvl>
  </w:abstractNum>
  <w:abstractNum w:abstractNumId="76">
    <w:nsid w:val="70836196"/>
    <w:multiLevelType w:val="hybridMultilevel"/>
    <w:lvl w:ilvl="0">
      <w:lvlJc w:val="left"/>
      <w:lvlText w:val="●"/>
      <w:numFmt w:val="bullet"/>
      <w:start w:val="1"/>
    </w:lvl>
  </w:abstractNum>
  <w:abstractNum w:abstractNumId="77">
    <w:nsid w:val="539F7F12"/>
    <w:multiLevelType w:val="hybridMultilevel"/>
    <w:lvl w:ilvl="0">
      <w:lvlJc w:val="left"/>
      <w:lvlText w:val="●"/>
      <w:numFmt w:val="bullet"/>
      <w:start w:val="1"/>
    </w:lvl>
  </w:abstractNum>
  <w:abstractNum w:abstractNumId="78">
    <w:nsid w:val="2817E7EC"/>
    <w:multiLevelType w:val="hybridMultilevel"/>
    <w:lvl w:ilvl="0">
      <w:lvlJc w:val="left"/>
      <w:lvlText w:val="%1."/>
      <w:numFmt w:val="decimal"/>
      <w:start w:val="1"/>
    </w:lvl>
  </w:abstractNum>
  <w:abstractNum w:abstractNumId="79">
    <w:nsid w:val="71482545"/>
    <w:multiLevelType w:val="hybridMultilevel"/>
    <w:lvl w:ilvl="0">
      <w:lvlJc w:val="left"/>
      <w:lvlText w:val="%1."/>
      <w:numFmt w:val="upperLetter"/>
      <w:start w:val="2"/>
    </w:lvl>
  </w:abstractNum>
  <w:abstractNum w:abstractNumId="80">
    <w:nsid w:val="17D78639"/>
    <w:multiLevelType w:val="hybridMultilevel"/>
    <w:lvl w:ilvl="0">
      <w:lvlJc w:val="left"/>
      <w:lvlText w:val="%1."/>
      <w:numFmt w:val="upperLetter"/>
      <w:start w:val="6"/>
    </w:lvl>
  </w:abstractNum>
  <w:abstractNum w:abstractNumId="81">
    <w:nsid w:val="141D2302"/>
    <w:multiLevelType w:val="hybridMultilevel"/>
    <w:lvl w:ilvl="0">
      <w:lvlJc w:val="left"/>
      <w:lvlText w:val="%1."/>
      <w:numFmt w:val="upperLetter"/>
      <w:start w:val="9"/>
    </w:lvl>
  </w:abstractNum>
  <w:abstractNum w:abstractNumId="82">
    <w:nsid w:val="407168D8"/>
    <w:multiLevelType w:val="hybridMultilevel"/>
    <w:lvl w:ilvl="0">
      <w:lvlJc w:val="left"/>
      <w:lvlText w:val="%1."/>
      <w:numFmt w:val="upperLetter"/>
      <w:start w:val="10"/>
    </w:lvl>
  </w:abstractNum>
  <w:abstractNum w:abstractNumId="83">
    <w:nsid w:val="6A1B45E5"/>
    <w:multiLevelType w:val="hybridMultilevel"/>
    <w:lvl w:ilvl="0">
      <w:lvlJc w:val="left"/>
      <w:lvlText w:val="%1."/>
      <w:numFmt w:val="upperLetter"/>
      <w:start w:val="16"/>
    </w:lvl>
  </w:abstractNum>
  <w:abstractNum w:abstractNumId="84">
    <w:nsid w:val="567BD50A"/>
    <w:multiLevelType w:val="hybridMultilevel"/>
    <w:lvl w:ilvl="0">
      <w:lvlJc w:val="left"/>
      <w:lvlText w:val="%1."/>
      <w:numFmt w:val="upperLetter"/>
      <w:start w:val="19"/>
    </w:lvl>
  </w:abstractNum>
  <w:abstractNum w:abstractNumId="85">
    <w:nsid w:val="73BBD7F8"/>
    <w:multiLevelType w:val="hybridMultilevel"/>
    <w:lvl w:ilvl="0">
      <w:lvlJc w:val="left"/>
      <w:lvlText w:val="%1."/>
      <w:numFmt w:val="decimal"/>
      <w:start w:val="2"/>
    </w:lvl>
  </w:abstractNum>
  <w:abstractNum w:abstractNumId="86">
    <w:nsid w:val="1876589D"/>
    <w:multiLevelType w:val="hybridMultilevel"/>
    <w:lvl w:ilvl="0">
      <w:lvlJc w:val="left"/>
      <w:lvlText w:val="%1."/>
      <w:numFmt w:val="decimal"/>
      <w:start w:val="5"/>
    </w:lvl>
  </w:abstractNum>
  <w:abstractNum w:abstractNumId="87">
    <w:nsid w:val="327FAC77"/>
    <w:multiLevelType w:val="hybridMultilevel"/>
    <w:lvl w:ilvl="0">
      <w:lvlJc w:val="left"/>
      <w:lvlText w:val="(%1)"/>
      <w:numFmt w:val="lowerRoman"/>
      <w:start w:val="3"/>
    </w:lvl>
  </w:abstractNum>
  <w:abstractNum w:abstractNumId="88">
    <w:nsid w:val="5A606509"/>
    <w:multiLevelType w:val="hybridMultilevel"/>
    <w:lvl w:ilvl="0">
      <w:lvlJc w:val="left"/>
      <w:lvlText w:val="%1."/>
      <w:numFmt w:val="decimal"/>
      <w:start w:val="6"/>
    </w:lvl>
  </w:abstractNum>
  <w:abstractNum w:abstractNumId="89">
    <w:nsid w:val="6F38E6D1"/>
    <w:multiLevelType w:val="hybridMultilevel"/>
    <w:lvl w:ilvl="0">
      <w:lvlJc w:val="left"/>
      <w:lvlText w:val="%1."/>
      <w:numFmt w:val="decimal"/>
      <w:start w:val="7"/>
    </w:lvl>
  </w:abstractNum>
  <w:abstractNum w:abstractNumId="90">
    <w:nsid w:val="46111BA5"/>
    <w:multiLevelType w:val="hybridMultilevel"/>
    <w:lvl w:ilvl="0">
      <w:lvlJc w:val="left"/>
      <w:lvlText w:val="(%1)"/>
      <w:numFmt w:val="decimal"/>
      <w:start w:val="1"/>
    </w:lvl>
  </w:abstractNum>
  <w:abstractNum w:abstractNumId="91">
    <w:nsid w:val="5E963896"/>
    <w:multiLevelType w:val="hybridMultilevel"/>
    <w:lvl w:ilvl="0">
      <w:lvlJc w:val="left"/>
      <w:lvlText w:val="●"/>
      <w:numFmt w:val="bullet"/>
      <w:start w:val="1"/>
    </w:lvl>
  </w:abstractNum>
  <w:abstractNum w:abstractNumId="92">
    <w:nsid w:val="775BA7C1"/>
    <w:multiLevelType w:val="hybridMultilevel"/>
    <w:lvl w:ilvl="0">
      <w:lvlJc w:val="left"/>
      <w:lvlText w:val="%1."/>
      <w:numFmt w:val="decimal"/>
      <w:start w:val="8"/>
    </w:lvl>
  </w:abstractNum>
  <w:abstractNum w:abstractNumId="93">
    <w:nsid w:val="1DD6D6F4"/>
    <w:multiLevelType w:val="hybridMultilevel"/>
    <w:lvl w:ilvl="0">
      <w:lvlJc w:val="left"/>
      <w:lvlText w:val="(%1)"/>
      <w:numFmt w:val="decimal"/>
      <w:start w:val="1"/>
    </w:lvl>
  </w:abstractNum>
  <w:abstractNum w:abstractNumId="94">
    <w:nsid w:val="769A091F"/>
    <w:multiLevelType w:val="hybridMultilevel"/>
    <w:lvl w:ilvl="0">
      <w:lvlJc w:val="left"/>
      <w:lvlText w:val="(%1)"/>
      <w:numFmt w:val="decimal"/>
      <w:start w:val="2"/>
    </w:lvl>
  </w:abstractNum>
  <w:abstractNum w:abstractNumId="95">
    <w:nsid w:val="4695AE95"/>
    <w:multiLevelType w:val="hybridMultilevel"/>
    <w:lvl w:ilvl="0">
      <w:lvlJc w:val="left"/>
      <w:lvlText w:val="●"/>
      <w:numFmt w:val="bullet"/>
      <w:start w:val="1"/>
    </w:lvl>
  </w:abstractNum>
  <w:abstractNum w:abstractNumId="96">
    <w:nsid w:val="777A4EAA"/>
    <w:multiLevelType w:val="hybridMultilevel"/>
    <w:lvl w:ilvl="0">
      <w:lvlJc w:val="left"/>
      <w:lvlText w:val="●"/>
      <w:numFmt w:val="bullet"/>
      <w:start w:val="1"/>
    </w:lvl>
  </w:abstractNum>
  <w:abstractNum w:abstractNumId="97">
    <w:nsid w:val="3F48B982"/>
    <w:multiLevelType w:val="hybridMultilevel"/>
    <w:lvl w:ilvl="0">
      <w:lvlJc w:val="left"/>
      <w:lvlText w:val="●"/>
      <w:numFmt w:val="bullet"/>
      <w:start w:val="1"/>
    </w:lvl>
  </w:abstractNum>
  <w:abstractNum w:abstractNumId="98">
    <w:nsid w:val="46BA8FCA"/>
    <w:multiLevelType w:val="hybridMultilevel"/>
    <w:lvl w:ilvl="0">
      <w:lvlJc w:val="left"/>
      <w:lvlText w:val="●"/>
      <w:numFmt w:val="bullet"/>
      <w:start w:val="1"/>
    </w:lvl>
  </w:abstractNum>
  <w:abstractNum w:abstractNumId="99">
    <w:nsid w:val="7835626C"/>
    <w:multiLevelType w:val="hybridMultilevel"/>
    <w:lvl w:ilvl="0">
      <w:lvlJc w:val="left"/>
      <w:lvlText w:val="%1."/>
      <w:numFmt w:val="upperLetter"/>
      <w:start w:val="1"/>
    </w:lvl>
  </w:abstractNum>
  <w:abstractNum w:abstractNumId="100">
    <w:nsid w:val="665ACA49"/>
    <w:multiLevelType w:val="hybridMultilevel"/>
    <w:lvl w:ilvl="0">
      <w:lvlJc w:val="left"/>
      <w:lvlText w:val="%1."/>
      <w:numFmt w:val="decimal"/>
      <w:start w:val="1"/>
    </w:lvl>
    <w:lvl w:ilvl="1">
      <w:lvlJc w:val="left"/>
      <w:lvlText w:val="(%2)"/>
      <w:numFmt w:val="lowerLetter"/>
      <w:start w:val="1"/>
    </w:lvl>
  </w:abstractNum>
  <w:abstractNum w:abstractNumId="101">
    <w:nsid w:val="6835B2AE"/>
    <w:multiLevelType w:val="hybridMultilevel"/>
    <w:lvl w:ilvl="0">
      <w:lvlJc w:val="left"/>
      <w:lvlText w:val="(%1)"/>
      <w:numFmt w:val="lowerLetter"/>
      <w:start w:val="2"/>
    </w:lvl>
  </w:abstractNum>
  <w:abstractNum w:abstractNumId="102">
    <w:nsid w:val="4C187C90"/>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03">
    <w:nsid w:val="541F28CD"/>
    <w:multiLevelType w:val="hybridMultilevel"/>
    <w:lvl w:ilvl="0">
      <w:lvlJc w:val="left"/>
      <w:lvlText w:val="(%1)"/>
      <w:numFmt w:val="decimal"/>
      <w:start w:val="5"/>
    </w:lvl>
    <w:lvl w:ilvl="1">
      <w:lvlJc w:val="left"/>
      <w:lvlText w:val="%2."/>
      <w:numFmt w:val="decimal"/>
      <w:start w:val="1"/>
    </w:lvl>
    <w:lvl w:ilvl="2">
      <w:lvlJc w:val="left"/>
      <w:lvlText w:val="(%3)"/>
      <w:numFmt w:val="lowerLetter"/>
      <w:start w:val="6"/>
    </w:lvl>
  </w:abstractNum>
  <w:abstractNum w:abstractNumId="104">
    <w:nsid w:val="7F65FD1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5">
    <w:nsid w:val="77C9FD6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6">
    <w:nsid w:val="298A92BA"/>
    <w:multiLevelType w:val="hybridMultilevel"/>
    <w:lvl w:ilvl="0">
      <w:lvlJc w:val="left"/>
      <w:lvlText w:val="(%1)"/>
      <w:numFmt w:val="lowerLetter"/>
      <w:start w:val="2"/>
    </w:lvl>
  </w:abstractNum>
  <w:abstractNum w:abstractNumId="107">
    <w:nsid w:val="6FE95EAC"/>
    <w:multiLevelType w:val="hybridMultilevel"/>
    <w:lvl w:ilvl="0">
      <w:lvlJc w:val="left"/>
      <w:lvlText w:val="%1"/>
      <w:numFmt w:val="decimal"/>
      <w:start w:val="1"/>
    </w:lvl>
    <w:lvl w:ilvl="1">
      <w:lvlJc w:val="left"/>
      <w:lvlText w:val="(%2)"/>
      <w:numFmt w:val="lowerLetter"/>
      <w:start w:val="5"/>
    </w:lvl>
  </w:abstractNum>
  <w:abstractNum w:abstractNumId="108">
    <w:nsid w:val="4B697C7A"/>
    <w:multiLevelType w:val="hybridMultilevel"/>
    <w:lvl w:ilvl="0">
      <w:lvlJc w:val="left"/>
      <w:lvlText w:val="%1."/>
      <w:numFmt w:val="decimal"/>
      <w:start w:val="4"/>
    </w:lvl>
    <w:lvl w:ilvl="1">
      <w:lvlJc w:val="left"/>
      <w:lvlText w:val="%2"/>
      <w:numFmt w:val="lowerLetter"/>
      <w:start w:val="1"/>
    </w:lvl>
  </w:abstractNum>
  <w:abstractNum w:abstractNumId="109">
    <w:nsid w:val="51A27AA6"/>
    <w:multiLevelType w:val="hybridMultilevel"/>
    <w:lvl w:ilvl="0">
      <w:lvlJc w:val="left"/>
      <w:lvlText w:val="%1."/>
      <w:numFmt w:val="decimal"/>
      <w:start w:val="5"/>
    </w:lvl>
  </w:abstractNum>
  <w:abstractNum w:abstractNumId="110">
    <w:nsid w:val="613183F2"/>
    <w:multiLevelType w:val="hybridMultilevel"/>
    <w:lvl w:ilvl="0">
      <w:lvlJc w:val="left"/>
      <w:lvlText w:val="%1."/>
      <w:numFmt w:val="decimal"/>
      <w:start w:val="7"/>
    </w:lvl>
    <w:lvl w:ilvl="1">
      <w:lvlJc w:val="left"/>
      <w:lvlText w:val="(%2)"/>
      <w:numFmt w:val="lowerLetter"/>
      <w:start w:val="1"/>
    </w:lvl>
  </w:abstractNum>
  <w:abstractNum w:abstractNumId="111">
    <w:nsid w:val="634102B4"/>
    <w:multiLevelType w:val="hybridMultilevel"/>
    <w:lvl w:ilvl="0">
      <w:lvlJc w:val="left"/>
      <w:lvlText w:val="%1"/>
      <w:numFmt w:val="decimal"/>
      <w:start w:val="1"/>
    </w:lvl>
    <w:lvl w:ilvl="1">
      <w:lvlJc w:val="left"/>
      <w:lvlText w:val="(%2)"/>
      <w:numFmt w:val="lowerLetter"/>
      <w:start w:val="4"/>
    </w:lvl>
  </w:abstractNum>
  <w:abstractNum w:abstractNumId="112">
    <w:nsid w:val="65BF9DA8"/>
    <w:multiLevelType w:val="hybridMultilevel"/>
    <w:lvl w:ilvl="0">
      <w:lvlJc w:val="left"/>
      <w:lvlText w:val="%1."/>
      <w:numFmt w:val="decimal"/>
      <w:start w:val="8"/>
    </w:lvl>
    <w:lvl w:ilvl="1">
      <w:lvlJc w:val="left"/>
      <w:lvlText w:val="(%2)"/>
      <w:numFmt w:val="lowerLetter"/>
      <w:start w:val="1"/>
    </w:lvl>
  </w:abstractNum>
  <w:abstractNum w:abstractNumId="113">
    <w:nsid w:val="21A2ECCA"/>
    <w:multiLevelType w:val="hybridMultilevel"/>
    <w:lvl w:ilvl="0">
      <w:lvlJc w:val="left"/>
      <w:lvlText w:val="%1."/>
      <w:numFmt w:val="decimal"/>
      <w:start w:val="10"/>
    </w:lvl>
    <w:lvl w:ilvl="1">
      <w:lvlJc w:val="left"/>
      <w:lvlText w:val="(%2)"/>
      <w:numFmt w:val="lowerLetter"/>
      <w:start w:val="1"/>
    </w:lvl>
  </w:abstractNum>
  <w:abstractNum w:abstractNumId="114">
    <w:nsid w:val="4D5C4899"/>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3"/>
    </w:lvl>
  </w:abstractNum>
  <w:abstractNum w:abstractNumId="115">
    <w:nsid w:val="3C3B72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6">
    <w:nsid w:val="155EC4C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17">
    <w:nsid w:val="65D2A137"/>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118">
    <w:nsid w:val="6EBB1F2A"/>
    <w:multiLevelType w:val="hybridMultilevel"/>
    <w:lvl w:ilvl="0">
      <w:lvlJc w:val="left"/>
      <w:lvlText w:val="(%1)"/>
      <w:numFmt w:val="decimal"/>
      <w:start w:val="5"/>
    </w:lvl>
    <w:lvl w:ilvl="1">
      <w:lvlJc w:val="left"/>
      <w:lvlText w:val="%2."/>
      <w:numFmt w:val="decimal"/>
      <w:start w:val="12"/>
    </w:lvl>
    <w:lvl w:ilvl="2">
      <w:lvlJc w:val="left"/>
      <w:lvlText w:val="(%3)"/>
      <w:numFmt w:val="lowerLetter"/>
      <w:start w:val="2"/>
    </w:lvl>
  </w:abstractNum>
  <w:abstractNum w:abstractNumId="119">
    <w:nsid w:val="6FBF29CB"/>
    <w:multiLevelType w:val="hybridMultilevel"/>
    <w:lvl w:ilvl="0">
      <w:lvlJc w:val="left"/>
      <w:lvlText w:val="%1."/>
      <w:numFmt w:val="decimal"/>
      <w:start w:val="14"/>
    </w:lvl>
  </w:abstractNum>
  <w:abstractNum w:abstractNumId="120">
    <w:nsid w:val="550B8808"/>
    <w:multiLevelType w:val="hybridMultilevel"/>
    <w:lvl w:ilvl="0">
      <w:lvlJc w:val="left"/>
      <w:lvlText w:val="%1."/>
      <w:numFmt w:val="decimal"/>
      <w:start w:val="15"/>
    </w:lvl>
  </w:abstractNum>
  <w:abstractNum w:abstractNumId="121">
    <w:nsid w:val="34CC3ACF"/>
    <w:multiLevelType w:val="hybridMultilevel"/>
    <w:lvl w:ilvl="0">
      <w:lvlJc w:val="left"/>
      <w:lvlText w:val="%1."/>
      <w:numFmt w:val="decimal"/>
      <w:start w:val="21"/>
    </w:lvl>
  </w:abstractNum>
  <w:abstractNum w:abstractNumId="122">
    <w:nsid w:val="4E556261"/>
    <w:multiLevelType w:val="hybridMultilevel"/>
    <w:lvl w:ilvl="0">
      <w:lvlJc w:val="left"/>
      <w:lvlText w:val="%1."/>
      <w:numFmt w:val="decimal"/>
      <w:start w:val="1"/>
    </w:lvl>
  </w:abstractNum>
  <w:abstractNum w:abstractNumId="123">
    <w:nsid w:val="4C672FC9"/>
    <w:multiLevelType w:val="hybridMultilevel"/>
    <w:lvl w:ilvl="0">
      <w:lvlJc w:val="left"/>
      <w:lvlText w:val="(%1)"/>
      <w:numFmt w:val="lowerRoman"/>
      <w:start w:val="10"/>
    </w:lvl>
  </w:abstractNum>
  <w:abstractNum w:abstractNumId="124">
    <w:nsid w:val="52A311C3"/>
    <w:multiLevelType w:val="hybridMultilevel"/>
    <w:lvl w:ilvl="0">
      <w:lvlJc w:val="left"/>
      <w:lvlText w:val="%1."/>
      <w:numFmt w:val="decimal"/>
      <w:start w:val="2"/>
    </w:lvl>
  </w:abstractNum>
  <w:abstractNum w:abstractNumId="125">
    <w:nsid w:val="44EF6B80"/>
    <w:multiLevelType w:val="hybridMultilevel"/>
    <w:lvl w:ilvl="0">
      <w:lvlJc w:val="left"/>
      <w:lvlText w:val="%1."/>
      <w:numFmt w:val="decimal"/>
      <w:start w:val="3"/>
    </w:lvl>
    <w:lvl w:ilvl="1">
      <w:lvlJc w:val="left"/>
      <w:lvlText w:val="(%2)"/>
      <w:numFmt w:val="lowerLetter"/>
      <w:start w:val="1"/>
    </w:lvl>
  </w:abstractNum>
  <w:abstractNum w:abstractNumId="126">
    <w:nsid w:val="12FCDE5E"/>
    <w:multiLevelType w:val="hybridMultilevel"/>
    <w:lvl w:ilvl="0">
      <w:lvlJc w:val="left"/>
      <w:lvlText w:val="%1."/>
      <w:numFmt w:val="decimal"/>
      <w:start w:val="4"/>
    </w:lvl>
  </w:abstractNum>
  <w:abstractNum w:abstractNumId="127">
    <w:nsid w:val="4A1D606E"/>
    <w:multiLevelType w:val="hybridMultilevel"/>
    <w:lvl w:ilvl="0">
      <w:lvlJc w:val="left"/>
      <w:lvlText w:val="(%1)"/>
      <w:numFmt w:val="lowerLetter"/>
      <w:start w:val="1"/>
    </w:lvl>
  </w:abstractNum>
  <w:abstractNum w:abstractNumId="128">
    <w:nsid w:val="4382503"/>
    <w:multiLevelType w:val="hybridMultilevel"/>
    <w:lvl w:ilvl="0">
      <w:lvlJc w:val="left"/>
      <w:lvlText w:val="%1."/>
      <w:numFmt w:val="decimal"/>
      <w:start w:val="5"/>
    </w:lvl>
  </w:abstractNum>
  <w:abstractNum w:abstractNumId="129">
    <w:nsid w:val="59B76E28"/>
    <w:multiLevelType w:val="hybridMultilevel"/>
    <w:lvl w:ilvl="0">
      <w:lvlJc w:val="left"/>
      <w:lvlText w:val="%1."/>
      <w:numFmt w:val="decimal"/>
      <w:start w:val="6"/>
    </w:lvl>
  </w:abstractNum>
  <w:abstractNum w:abstractNumId="130">
    <w:nsid w:val="4252C2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1">
    <w:nsid w:val="6A92EF4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132">
    <w:nsid w:val="41ED20D7"/>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133">
    <w:nsid w:val="E6B3F6A"/>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134">
    <w:nsid w:val="3EB21819"/>
    <w:multiLevelType w:val="hybridMultilevel"/>
    <w:lvl w:ilvl="0">
      <w:lvlJc w:val="left"/>
      <w:lvlText w:val="(%1)"/>
      <w:numFmt w:val="lowerLetter"/>
      <w:start w:val="1"/>
    </w:lvl>
  </w:abstractNum>
  <w:abstractNum w:abstractNumId="135">
    <w:nsid w:val="41531DED"/>
    <w:multiLevelType w:val="hybridMultilevel"/>
    <w:lvl w:ilvl="0">
      <w:lvlJc w:val="left"/>
      <w:lvlText w:val="%1"/>
      <w:numFmt w:val="decimal"/>
      <w:start w:val="1"/>
    </w:lvl>
    <w:lvl w:ilvl="1">
      <w:lvlJc w:val="left"/>
      <w:lvlText w:val="(%2)"/>
      <w:numFmt w:val="lowerLetter"/>
      <w:start w:val="2"/>
    </w:lvl>
  </w:abstractNum>
  <w:abstractNum w:abstractNumId="136">
    <w:nsid w:val="6353CD2"/>
    <w:multiLevelType w:val="hybridMultilevel"/>
    <w:lvl w:ilvl="0">
      <w:lvlJc w:val="left"/>
      <w:lvlText w:val="%1."/>
      <w:numFmt w:val="decimal"/>
      <w:start w:val="8"/>
    </w:lvl>
    <w:lvl w:ilvl="1">
      <w:lvlJc w:val="left"/>
      <w:lvlText w:val="%2"/>
      <w:numFmt w:val="lowerLetter"/>
      <w:start w:val="1"/>
    </w:lvl>
  </w:abstractNum>
  <w:abstractNum w:abstractNumId="137">
    <w:nsid w:val="683CAAD3"/>
    <w:multiLevelType w:val="hybridMultilevel"/>
    <w:lvl w:ilvl="0">
      <w:lvlJc w:val="left"/>
      <w:lvlText w:val="%1."/>
      <w:numFmt w:val="decimal"/>
      <w:start w:val="9"/>
    </w:lvl>
  </w:abstractNum>
  <w:abstractNum w:abstractNumId="138">
    <w:nsid w:val="313C7C99"/>
    <w:multiLevelType w:val="hybridMultilevel"/>
    <w:lvl w:ilvl="0">
      <w:lvlJc w:val="left"/>
      <w:lvlText w:val="%1."/>
      <w:numFmt w:val="decimal"/>
      <w:start w:val="10"/>
    </w:lvl>
  </w:abstractNum>
  <w:abstractNum w:abstractNumId="139">
    <w:nsid w:val="519EB94C"/>
    <w:multiLevelType w:val="hybridMultilevel"/>
    <w:lvl w:ilvl="0">
      <w:lvlJc w:val="left"/>
      <w:lvlText w:val="%1."/>
      <w:numFmt w:val="decimal"/>
      <w:start w:val="11"/>
    </w:lvl>
  </w:abstractNum>
  <w:abstractNum w:abstractNumId="140">
    <w:nsid w:val="39DF2579"/>
    <w:multiLevelType w:val="hybridMultilevel"/>
    <w:lvl w:ilvl="0">
      <w:lvlJc w:val="left"/>
      <w:lvlText w:val="%1."/>
      <w:numFmt w:val="decimal"/>
      <w:start w:val="12"/>
    </w:lvl>
  </w:abstractNum>
  <w:abstractNum w:abstractNumId="141">
    <w:nsid w:val="126E008B"/>
    <w:multiLevelType w:val="hybridMultilevel"/>
    <w:lvl w:ilvl="0">
      <w:lvlJc w:val="left"/>
      <w:lvlText w:val="%1."/>
      <w:numFmt w:val="decimal"/>
      <w:start w:val="13"/>
    </w:lvl>
  </w:abstractNum>
  <w:abstractNum w:abstractNumId="142">
    <w:nsid w:val="34DFBC00"/>
    <w:multiLevelType w:val="hybridMultilevel"/>
    <w:lvl w:ilvl="0">
      <w:lvlJc w:val="left"/>
      <w:lvlText w:val="%1."/>
      <w:numFmt w:val="decimal"/>
      <w:start w:val="14"/>
    </w:lvl>
  </w:abstractNum>
  <w:abstractNum w:abstractNumId="143">
    <w:nsid w:val="1F9EC322"/>
    <w:multiLevelType w:val="hybridMultilevel"/>
    <w:lvl w:ilvl="0">
      <w:lvlJc w:val="left"/>
      <w:lvlText w:val="(%1)"/>
      <w:numFmt w:val="lowerLetter"/>
      <w:start w:val="1"/>
    </w:lvl>
  </w:abstractNum>
  <w:abstractNum w:abstractNumId="144">
    <w:nsid w:val="3410ED56"/>
    <w:multiLevelType w:val="hybridMultilevel"/>
    <w:lvl w:ilvl="0">
      <w:lvlJc w:val="left"/>
      <w:lvlText w:val="%1"/>
      <w:numFmt w:val="decimal"/>
      <w:start w:val="1"/>
    </w:lvl>
    <w:lvl w:ilvl="1">
      <w:lvlJc w:val="left"/>
      <w:lvlText w:val="(%2)"/>
      <w:numFmt w:val="lowerLetter"/>
      <w:start w:val="4"/>
    </w:lvl>
  </w:abstractNum>
  <w:abstractNum w:abstractNumId="145">
    <w:nsid w:val="23C049A"/>
    <w:multiLevelType w:val="hybridMultilevel"/>
    <w:lvl w:ilvl="0">
      <w:lvlJc w:val="left"/>
      <w:lvlText w:val="%1."/>
      <w:numFmt w:val="decimal"/>
      <w:start w:val="15"/>
    </w:lvl>
    <w:lvl w:ilvl="1">
      <w:lvlJc w:val="left"/>
      <w:lvlText w:val="%2"/>
      <w:numFmt w:val="lowerLetter"/>
      <w:start w:val="1"/>
    </w:lvl>
  </w:abstractNum>
  <w:abstractNum w:abstractNumId="146">
    <w:nsid w:val="5BDA35D4"/>
    <w:multiLevelType w:val="hybridMultilevel"/>
    <w:lvl w:ilvl="0">
      <w:lvlJc w:val="left"/>
      <w:lvlText w:val="(%1)"/>
      <w:numFmt w:val="lowerLetter"/>
      <w:start w:val="1"/>
    </w:lvl>
  </w:abstractNum>
  <w:abstractNum w:abstractNumId="147">
    <w:nsid w:val="496FB218"/>
    <w:multiLevelType w:val="hybridMultilevel"/>
    <w:lvl w:ilvl="0">
      <w:lvlJc w:val="left"/>
      <w:lvlText w:val="%1."/>
      <w:numFmt w:val="decimal"/>
      <w:start w:val="16"/>
    </w:lvl>
    <w:lvl w:ilvl="1">
      <w:lvlJc w:val="left"/>
      <w:lvlText w:val="(%2)"/>
      <w:numFmt w:val="lowerLetter"/>
      <w:start w:val="1"/>
    </w:lvl>
  </w:abstractNum>
  <w:abstractNum w:abstractNumId="148">
    <w:nsid w:val="680EA5D1"/>
    <w:multiLevelType w:val="hybridMultilevel"/>
    <w:lvl w:ilvl="0">
      <w:lvlJc w:val="left"/>
      <w:lvlText w:val="(%1)"/>
      <w:numFmt w:val="lowerLetter"/>
      <w:start w:val="1"/>
    </w:lvl>
  </w:abstractNum>
  <w:abstractNum w:abstractNumId="149">
    <w:nsid w:val="4A9554FE"/>
    <w:multiLevelType w:val="hybridMultilevel"/>
    <w:lvl w:ilvl="0">
      <w:lvlJc w:val="left"/>
      <w:lvlText w:val="%1"/>
      <w:numFmt w:val="decimal"/>
      <w:start w:val="1"/>
    </w:lvl>
    <w:lvl w:ilvl="1">
      <w:lvlJc w:val="left"/>
      <w:lvlText w:val="(%2)"/>
      <w:numFmt w:val="lowerLetter"/>
      <w:start w:val="2"/>
    </w:lvl>
  </w:abstractNum>
  <w:abstractNum w:abstractNumId="150">
    <w:nsid w:val="392EDBE4"/>
    <w:multiLevelType w:val="hybridMultilevel"/>
    <w:lvl w:ilvl="0">
      <w:lvlJc w:val="left"/>
      <w:lvlText w:val="%1."/>
      <w:numFmt w:val="decimal"/>
      <w:start w:val="18"/>
    </w:lvl>
    <w:lvl w:ilvl="1">
      <w:lvlJc w:val="left"/>
      <w:lvlText w:val="%2"/>
      <w:numFmt w:val="lowerLetter"/>
      <w:start w:val="1"/>
    </w:lvl>
  </w:abstractNum>
  <w:abstractNum w:abstractNumId="151">
    <w:nsid w:val="3D1A2DD9"/>
    <w:multiLevelType w:val="hybridMultilevel"/>
    <w:lvl w:ilvl="0">
      <w:lvlJc w:val="left"/>
      <w:lvlText w:val="%1."/>
      <w:numFmt w:val="decimal"/>
      <w:start w:val="19"/>
    </w:lvl>
  </w:abstractNum>
  <w:abstractNum w:abstractNumId="152">
    <w:nsid w:val="7F618FCD"/>
    <w:multiLevelType w:val="hybridMultilevel"/>
    <w:lvl w:ilvl="0">
      <w:lvlJc w:val="left"/>
      <w:lvlText w:val="%1."/>
      <w:numFmt w:val="decimal"/>
      <w:start w:val="20"/>
    </w:lvl>
  </w:abstractNum>
  <w:abstractNum w:abstractNumId="153">
    <w:nsid w:val="7843E45"/>
    <w:multiLevelType w:val="hybridMultilevel"/>
    <w:lvl w:ilvl="0">
      <w:lvlJc w:val="left"/>
      <w:lvlText w:val="(%1)"/>
      <w:numFmt w:val="lowerLetter"/>
      <w:start w:val="1"/>
    </w:lvl>
  </w:abstractNum>
  <w:abstractNum w:abstractNumId="154">
    <w:nsid w:val="9815DA3"/>
    <w:multiLevelType w:val="hybridMultilevel"/>
    <w:lvl w:ilvl="0">
      <w:lvlJc w:val="left"/>
      <w:lvlText w:val="%1"/>
      <w:numFmt w:val="decimal"/>
      <w:start w:val="1"/>
    </w:lvl>
    <w:lvl w:ilvl="1">
      <w:lvlJc w:val="left"/>
      <w:lvlText w:val="(%2)"/>
      <w:numFmt w:val="lowerLetter"/>
      <w:start w:val="2"/>
    </w:lvl>
  </w:abstractNum>
  <w:abstractNum w:abstractNumId="155">
    <w:nsid w:val="5204A191"/>
    <w:multiLevelType w:val="hybridMultilevel"/>
    <w:lvl w:ilvl="0">
      <w:lvlJc w:val="left"/>
      <w:lvlText w:val="%1."/>
      <w:numFmt w:val="decimal"/>
      <w:start w:val="21"/>
    </w:lvl>
    <w:lvl w:ilvl="1">
      <w:lvlJc w:val="left"/>
      <w:lvlText w:val="%2"/>
      <w:numFmt w:val="lowerLetter"/>
      <w:start w:val="1"/>
    </w:lvl>
  </w:abstractNum>
  <w:abstractNum w:abstractNumId="156">
    <w:nsid w:val="4C73A9C6"/>
    <w:multiLevelType w:val="hybridMultilevel"/>
    <w:lvl w:ilvl="0">
      <w:lvlJc w:val="left"/>
      <w:lvlText w:val="%1."/>
      <w:numFmt w:val="decimal"/>
      <w:start w:val="22"/>
    </w:lvl>
  </w:abstractNum>
  <w:abstractNum w:abstractNumId="157">
    <w:nsid w:val="1C7E3C01"/>
    <w:multiLevelType w:val="hybridMultilevel"/>
    <w:lvl w:ilvl="0">
      <w:lvlJc w:val="left"/>
      <w:lvlText w:val="%1."/>
      <w:numFmt w:val="decimal"/>
      <w:start w:val="23"/>
    </w:lvl>
  </w:abstractNum>
  <w:abstractNum w:abstractNumId="158">
    <w:nsid w:val="1C2201F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9">
    <w:nsid w:val="50ABCEC9"/>
    <w:multiLevelType w:val="hybridMultilevel"/>
    <w:lvl w:ilvl="0">
      <w:lvlJc w:val="left"/>
      <w:lvlText w:val="%1."/>
      <w:numFmt w:val="decimal"/>
      <w:start w:val="24"/>
    </w:lvl>
    <w:lvl w:ilvl="1">
      <w:lvlJc w:val="left"/>
      <w:lvlText w:val="%2"/>
      <w:numFmt w:val="lowerLetter"/>
      <w:start w:val="1"/>
    </w:lvl>
    <w:lvl w:ilvl="2">
      <w:lvlJc w:val="left"/>
      <w:lvlText w:val="%3"/>
      <w:numFmt w:val="decimal"/>
      <w:start w:val="1"/>
    </w:lvl>
  </w:abstractNum>
  <w:abstractNum w:abstractNumId="160">
    <w:nsid w:val="7635AA2A"/>
    <w:multiLevelType w:val="hybridMultilevel"/>
    <w:lvl w:ilvl="0">
      <w:lvlJc w:val="left"/>
      <w:lvlText w:val="%1."/>
      <w:numFmt w:val="decimal"/>
      <w:start w:val="25"/>
    </w:lvl>
  </w:abstractNum>
  <w:abstractNum w:abstractNumId="161">
    <w:nsid w:val="5E74C4D9"/>
    <w:multiLevelType w:val="hybridMultilevel"/>
    <w:lvl w:ilvl="0">
      <w:lvlJc w:val="left"/>
      <w:lvlText w:val="(%1)"/>
      <w:numFmt w:val="lowerLetter"/>
      <w:start w:val="1"/>
    </w:lvl>
  </w:abstractNum>
  <w:abstractNum w:abstractNumId="162">
    <w:nsid w:val="3B3EBE15"/>
    <w:multiLevelType w:val="hybridMultilevel"/>
    <w:lvl w:ilvl="0">
      <w:lvlJc w:val="left"/>
      <w:lvlText w:val="(%1)"/>
      <w:numFmt w:val="lowerLetter"/>
      <w:start w:val="2"/>
    </w:lvl>
    <w:lvl w:ilvl="1">
      <w:lvlJc w:val="left"/>
      <w:lvlText w:val="(%2)"/>
      <w:numFmt w:val="upperLetter"/>
      <w:start w:val="2"/>
    </w:lvl>
  </w:abstractNum>
  <w:abstractNum w:abstractNumId="163">
    <w:nsid w:val="3822CB01"/>
    <w:multiLevelType w:val="hybridMultilevel"/>
    <w:lvl w:ilvl="0">
      <w:lvlJc w:val="left"/>
      <w:lvlText w:val="%1"/>
      <w:numFmt w:val="decimal"/>
      <w:start w:val="1"/>
    </w:lvl>
    <w:lvl w:ilvl="1">
      <w:lvlJc w:val="left"/>
      <w:lvlText w:val="(%2)"/>
      <w:numFmt w:val="lowerLetter"/>
      <w:start w:val="3"/>
    </w:lvl>
  </w:abstractNum>
  <w:abstractNum w:abstractNumId="164">
    <w:nsid w:val="6CE00443"/>
    <w:multiLevelType w:val="hybridMultilevel"/>
    <w:lvl w:ilvl="0">
      <w:lvlJc w:val="left"/>
      <w:lvlText w:val="%1."/>
      <w:numFmt w:val="decimal"/>
      <w:start w:val="26"/>
    </w:lvl>
    <w:lvl w:ilvl="1">
      <w:lvlJc w:val="left"/>
      <w:lvlText w:val="%2"/>
      <w:numFmt w:val="lowerLetter"/>
      <w:start w:val="1"/>
    </w:lvl>
  </w:abstractNum>
  <w:abstractNum w:abstractNumId="165">
    <w:nsid w:val="79F0D62F"/>
    <w:multiLevelType w:val="hybridMultilevel"/>
    <w:lvl w:ilvl="0">
      <w:lvlJc w:val="left"/>
      <w:lvlText w:val="%1."/>
      <w:numFmt w:val="decimal"/>
      <w:start w:val="27"/>
    </w:lvl>
  </w:abstractNum>
  <w:abstractNum w:abstractNumId="166">
    <w:nsid w:val="7975E8EE"/>
    <w:multiLevelType w:val="hybridMultilevel"/>
    <w:lvl w:ilvl="0">
      <w:lvlJc w:val="left"/>
      <w:lvlText w:val="%1."/>
      <w:numFmt w:val="decimal"/>
      <w:start w:val="28"/>
    </w:lvl>
  </w:abstractNum>
  <w:abstractNum w:abstractNumId="167">
    <w:nsid w:val="73154115"/>
    <w:multiLevelType w:val="hybridMultilevel"/>
    <w:lvl w:ilvl="0">
      <w:lvlJc w:val="left"/>
      <w:lvlText w:val="%1."/>
      <w:numFmt w:val="decimal"/>
      <w:start w:val="29"/>
    </w:lvl>
  </w:abstractNum>
  <w:abstractNum w:abstractNumId="168">
    <w:nsid w:val="622D8102"/>
    <w:multiLevelType w:val="hybridMultilevel"/>
    <w:lvl w:ilvl="0">
      <w:lvlJc w:val="left"/>
      <w:lvlText w:val="%1."/>
      <w:numFmt w:val="decimal"/>
      <w:start w:val="30"/>
    </w:lvl>
  </w:abstractNum>
  <w:abstractNum w:abstractNumId="169">
    <w:nsid w:val="2AB26587"/>
    <w:multiLevelType w:val="hybridMultilevel"/>
    <w:lvl w:ilvl="0">
      <w:lvlJc w:val="left"/>
      <w:lvlText w:val="%1."/>
      <w:numFmt w:val="decimal"/>
      <w:start w:val="31"/>
    </w:lvl>
  </w:abstractNum>
  <w:abstractNum w:abstractNumId="170">
    <w:nsid w:val="44B3FA61"/>
    <w:multiLevelType w:val="hybridMultilevel"/>
    <w:lvl w:ilvl="0">
      <w:lvlJc w:val="left"/>
      <w:lvlText w:val="%1."/>
      <w:numFmt w:val="decimal"/>
      <w:start w:val="32"/>
    </w:lvl>
  </w:abstractNum>
  <w:abstractNum w:abstractNumId="171">
    <w:nsid w:val="1C0CA67C"/>
    <w:multiLevelType w:val="hybridMultilevel"/>
    <w:lvl w:ilvl="0">
      <w:lvlJc w:val="left"/>
      <w:lvlText w:val="%1."/>
      <w:numFmt w:val="decimal"/>
      <w:start w:val="33"/>
    </w:lvl>
  </w:abstractNum>
  <w:abstractNum w:abstractNumId="172">
    <w:nsid w:val="3D206613"/>
    <w:multiLevelType w:val="hybridMultilevel"/>
    <w:lvl w:ilvl="0">
      <w:lvlJc w:val="left"/>
      <w:lvlText w:val="%1."/>
      <w:numFmt w:val="decimal"/>
      <w:start w:val="34"/>
    </w:lvl>
  </w:abstractNum>
  <w:abstractNum w:abstractNumId="173">
    <w:nsid w:val="7993B662"/>
    <w:multiLevelType w:val="hybridMultilevel"/>
    <w:lvl w:ilvl="0">
      <w:lvlJc w:val="left"/>
      <w:lvlText w:val="%1."/>
      <w:numFmt w:val="decimal"/>
      <w:start w:val="35"/>
    </w:lvl>
  </w:abstractNum>
  <w:abstractNum w:abstractNumId="174">
    <w:nsid w:val="3BAB699E"/>
    <w:multiLevelType w:val="hybridMultilevel"/>
    <w:lvl w:ilvl="0">
      <w:lvlJc w:val="left"/>
      <w:lvlText w:val="%1."/>
      <w:numFmt w:val="decimal"/>
      <w:start w:val="36"/>
    </w:lvl>
  </w:abstractNum>
  <w:abstractNum w:abstractNumId="175">
    <w:nsid w:val="71315369"/>
    <w:multiLevelType w:val="hybridMultilevel"/>
    <w:lvl w:ilvl="0">
      <w:lvlJc w:val="left"/>
      <w:lvlText w:val="%1."/>
      <w:numFmt w:val="decimal"/>
      <w:start w:val="1"/>
    </w:lvl>
  </w:abstractNum>
  <w:abstractNum w:abstractNumId="176">
    <w:nsid w:val="7BCFBAFC"/>
    <w:multiLevelType w:val="hybridMultilevel"/>
    <w:lvl w:ilvl="0">
      <w:lvlJc w:val="left"/>
      <w:lvlText w:val="%1."/>
      <w:numFmt w:val="decimal"/>
      <w:start w:val="2"/>
    </w:lvl>
  </w:abstractNum>
  <w:abstractNum w:abstractNumId="177">
    <w:nsid w:val="17859F72"/>
    <w:multiLevelType w:val="hybridMultilevel"/>
    <w:lvl w:ilvl="0">
      <w:lvlJc w:val="left"/>
      <w:lvlText w:val="%1."/>
      <w:numFmt w:val="decimal"/>
      <w:start w:val="3"/>
    </w:lvl>
  </w:abstractNum>
  <w:abstractNum w:abstractNumId="178">
    <w:nsid w:val="3AA10581"/>
    <w:multiLevelType w:val="hybridMultilevel"/>
    <w:lvl w:ilvl="0">
      <w:lvlJc w:val="left"/>
      <w:lvlText w:val="%1."/>
      <w:numFmt w:val="decimal"/>
      <w:start w:val="4"/>
    </w:lvl>
  </w:abstractNum>
  <w:abstractNum w:abstractNumId="179">
    <w:nsid w:val="63DE60CD"/>
    <w:multiLevelType w:val="hybridMultilevel"/>
    <w:lvl w:ilvl="0">
      <w:lvlJc w:val="left"/>
      <w:lvlText w:val="(%1)"/>
      <w:numFmt w:val="lowerLetter"/>
      <w:start w:val="1"/>
    </w:lvl>
    <w:lvl w:ilvl="1">
      <w:lvlJc w:val="left"/>
      <w:lvlText w:val="(%2)"/>
      <w:numFmt w:val="lowerRoman"/>
      <w:start w:val="1"/>
    </w:lvl>
  </w:abstractNum>
  <w:abstractNum w:abstractNumId="180">
    <w:nsid w:val="621AF471"/>
    <w:multiLevelType w:val="hybridMultilevel"/>
    <w:lvl w:ilvl="0">
      <w:lvlJc w:val="left"/>
      <w:lvlText w:val="(%1)"/>
      <w:numFmt w:val="lowerRoman"/>
      <w:start w:val="5"/>
    </w:lvl>
  </w:abstractNum>
  <w:abstractNum w:abstractNumId="181">
    <w:nsid w:val="73CFE165"/>
    <w:multiLevelType w:val="hybridMultilevel"/>
    <w:lvl w:ilvl="0">
      <w:lvlJc w:val="left"/>
      <w:lvlText w:val="(%1)"/>
      <w:numFmt w:val="lowerLetter"/>
      <w:start w:val="1"/>
    </w:lvl>
  </w:abstractNum>
  <w:abstractNum w:abstractNumId="182">
    <w:nsid w:val="20F88EA6"/>
    <w:multiLevelType w:val="hybridMultilevel"/>
    <w:lvl w:ilvl="0">
      <w:lvlJc w:val="left"/>
      <w:lvlText w:val="%1."/>
      <w:numFmt w:val="decimal"/>
      <w:start w:val="6"/>
    </w:lvl>
  </w:abstractNum>
  <w:abstractNum w:abstractNumId="183">
    <w:nsid w:val="617C843E"/>
    <w:multiLevelType w:val="hybridMultilevel"/>
    <w:lvl w:ilvl="0">
      <w:lvlJc w:val="left"/>
      <w:lvlText w:val="%1."/>
      <w:numFmt w:val="decimal"/>
      <w:start w:val="9"/>
    </w:lvl>
  </w:abstractNum>
  <w:abstractNum w:abstractNumId="184">
    <w:nsid w:val="7B541FAB"/>
    <w:multiLevelType w:val="hybridMultilevel"/>
    <w:lvl w:ilvl="0">
      <w:lvlJc w:val="left"/>
      <w:lvlText w:val="%1."/>
      <w:numFmt w:val="decimal"/>
      <w:start w:val="12"/>
    </w:lvl>
  </w:abstractNum>
  <w:abstractNum w:abstractNumId="185">
    <w:nsid w:val="2A79EC49"/>
    <w:multiLevelType w:val="hybridMultilevel"/>
    <w:lvl w:ilvl="0">
      <w:lvlJc w:val="left"/>
      <w:lvlText w:val="%1."/>
      <w:numFmt w:val="decimal"/>
      <w:start w:val="19"/>
    </w:lvl>
  </w:abstractNum>
  <w:abstractNum w:abstractNumId="186">
    <w:nsid w:val="338125CF"/>
    <w:multiLevelType w:val="hybridMultilevel"/>
    <w:lvl w:ilvl="0">
      <w:lvlJc w:val="left"/>
      <w:lvlText w:val="%1."/>
      <w:numFmt w:val="decimal"/>
      <w:start w:val="24"/>
    </w:lvl>
  </w:abstractNum>
  <w:abstractNum w:abstractNumId="187">
    <w:nsid w:val="47C7C971"/>
    <w:multiLevelType w:val="hybridMultilevel"/>
    <w:lvl w:ilvl="0">
      <w:lvlJc w:val="left"/>
      <w:lvlText w:val="%1."/>
      <w:numFmt w:val="decimal"/>
      <w:start w:val="30"/>
    </w:lvl>
  </w:abstractNum>
  <w:abstractNum w:abstractNumId="188">
    <w:nsid w:val="46F8284B"/>
    <w:multiLevelType w:val="hybridMultilevel"/>
    <w:lvl w:ilvl="0">
      <w:lvlJc w:val="left"/>
      <w:lvlText w:val="%1."/>
      <w:numFmt w:val="decimal"/>
      <w:start w:val="37"/>
    </w:lvl>
  </w:abstractNum>
  <w:abstractNum w:abstractNumId="189">
    <w:nsid w:val="4FA327CE"/>
    <w:multiLevelType w:val="hybridMultilevel"/>
    <w:lvl w:ilvl="0">
      <w:lvlJc w:val="left"/>
      <w:lvlText w:val="%1."/>
      <w:numFmt w:val="decimal"/>
      <w:start w:val="1"/>
    </w:lvl>
  </w:abstractNum>
  <w:abstractNum w:abstractNumId="190">
    <w:nsid w:val="1873983A"/>
    <w:multiLevelType w:val="hybridMultilevel"/>
    <w:lvl w:ilvl="0">
      <w:lvlJc w:val="left"/>
      <w:lvlText w:val="%1."/>
      <w:numFmt w:val="decimal"/>
      <w:start w:val="1"/>
    </w:lvl>
  </w:abstractNum>
  <w:abstractNum w:abstractNumId="191">
    <w:nsid w:val="3D2DD275"/>
    <w:multiLevelType w:val="hybridMultilevel"/>
    <w:lvl w:ilvl="0">
      <w:lvlJc w:val="left"/>
      <w:lvlText w:val="%1."/>
      <w:numFmt w:val="decimal"/>
      <w:start w:val="2"/>
    </w:lvl>
  </w:abstractNum>
  <w:abstractNum w:abstractNumId="192">
    <w:nsid w:val="2E17ECA7"/>
    <w:multiLevelType w:val="hybridMultilevel"/>
    <w:lvl w:ilvl="0">
      <w:lvlJc w:val="left"/>
      <w:lvlText w:val="%1."/>
      <w:numFmt w:val="decimal"/>
      <w:start w:val="3"/>
    </w:lvl>
  </w:abstractNum>
  <w:abstractNum w:abstractNumId="193">
    <w:nsid w:val="53B2564F"/>
    <w:multiLevelType w:val="hybridMultilevel"/>
    <w:lvl w:ilvl="0">
      <w:lvlJc w:val="left"/>
      <w:lvlText w:val="%1."/>
      <w:numFmt w:val="decimal"/>
      <w:start w:val="4"/>
    </w:lvl>
  </w:abstractNum>
  <w:abstractNum w:abstractNumId="194">
    <w:nsid w:val="75509D76"/>
    <w:multiLevelType w:val="hybridMultilevel"/>
    <w:lvl w:ilvl="0">
      <w:lvlJc w:val="left"/>
      <w:lvlText w:val="%1."/>
      <w:numFmt w:val="decimal"/>
      <w:start w:val="5"/>
    </w:lvl>
  </w:abstractNum>
  <w:abstractNum w:abstractNumId="195">
    <w:nsid w:val="1AF7F0EA"/>
    <w:multiLevelType w:val="hybridMultilevel"/>
    <w:lvl w:ilvl="0">
      <w:lvlJc w:val="left"/>
      <w:lvlText w:val="(%1)"/>
      <w:numFmt w:val="lowerLetter"/>
      <w:start w:val="1"/>
    </w:lvl>
    <w:lvl w:ilvl="1">
      <w:lvlJc w:val="left"/>
      <w:lvlText w:val="(%2)"/>
      <w:numFmt w:val="lowerRoman"/>
      <w:start w:val="1"/>
    </w:lvl>
  </w:abstractNum>
  <w:abstractNum w:abstractNumId="196">
    <w:nsid w:val="4DA32C7E"/>
    <w:multiLevelType w:val="hybridMultilevel"/>
    <w:lvl w:ilvl="0">
      <w:lvlJc w:val="left"/>
      <w:lvlText w:val="(%1)"/>
      <w:numFmt w:val="lowerLetter"/>
      <w:start w:val="1"/>
    </w:lvl>
  </w:abstractNum>
  <w:abstractNum w:abstractNumId="197">
    <w:nsid w:val="6EC68664"/>
    <w:multiLevelType w:val="hybridMultilevel"/>
    <w:lvl w:ilvl="0">
      <w:lvlJc w:val="left"/>
      <w:lvlText w:val="%1."/>
      <w:numFmt w:val="decimal"/>
      <w:start w:val="6"/>
    </w:lvl>
  </w:abstractNum>
  <w:abstractNum w:abstractNumId="198">
    <w:nsid w:val="E0D31FF"/>
    <w:multiLevelType w:val="hybridMultilevel"/>
    <w:lvl w:ilvl="0">
      <w:lvlJc w:val="left"/>
      <w:lvlText w:val="%1."/>
      <w:numFmt w:val="decimal"/>
      <w:start w:val="9"/>
    </w:lvl>
  </w:abstractNum>
  <w:abstractNum w:abstractNumId="199">
    <w:nsid w:val="2FD0AD81"/>
    <w:multiLevelType w:val="hybridMultilevel"/>
    <w:lvl w:ilvl="0">
      <w:lvlJc w:val="left"/>
      <w:lvlText w:val="%1."/>
      <w:numFmt w:val="decimal"/>
      <w:start w:val="15"/>
    </w:lvl>
  </w:abstractNum>
  <w:abstractNum w:abstractNumId="200">
    <w:nsid w:val="1978EBEB"/>
    <w:multiLevelType w:val="hybridMultilevel"/>
    <w:lvl w:ilvl="0">
      <w:lvlJc w:val="left"/>
      <w:lvlText w:val="%1."/>
      <w:numFmt w:val="decimal"/>
      <w:start w:val="21"/>
    </w:lvl>
  </w:abstractNum>
  <w:abstractNum w:abstractNumId="201">
    <w:nsid w:val="52C12C61"/>
    <w:multiLevelType w:val="hybridMultilevel"/>
    <w:lvl w:ilvl="0">
      <w:lvlJc w:val="left"/>
      <w:lvlText w:val="%1."/>
      <w:numFmt w:val="decimal"/>
      <w:start w:val="24"/>
    </w:lvl>
  </w:abstractNum>
  <w:abstractNum w:abstractNumId="202">
    <w:nsid w:val="4BDD53FD"/>
    <w:multiLevelType w:val="hybridMultilevel"/>
    <w:lvl w:ilvl="0">
      <w:lvlJc w:val="left"/>
      <w:lvlText w:val="%1."/>
      <w:numFmt w:val="decimal"/>
      <w:start w:val="32"/>
    </w:lvl>
  </w:abstractNum>
  <w:abstractNum w:abstractNumId="203">
    <w:nsid w:val="569951FE"/>
    <w:multiLevelType w:val="hybridMultilevel"/>
    <w:lvl w:ilvl="0">
      <w:lvlJc w:val="left"/>
      <w:lvlText w:val="%1."/>
      <w:numFmt w:val="decimal"/>
      <w:start w:val="1"/>
    </w:lvl>
    <w:lvl w:ilvl="1">
      <w:lvlJc w:val="left"/>
      <w:lvlText w:val="(%2)"/>
      <w:numFmt w:val="lowerLetter"/>
      <w:start w:val="1"/>
    </w:lvl>
  </w:abstractNum>
  <w:abstractNum w:abstractNumId="204">
    <w:nsid w:val="4C54E2C3"/>
    <w:multiLevelType w:val="hybridMultilevel"/>
    <w:lvl w:ilvl="0">
      <w:lvlJc w:val="left"/>
      <w:lvlText w:val="(%1)"/>
      <w:numFmt w:val="lowerRoman"/>
      <w:start w:val="1"/>
    </w:lvl>
  </w:abstractNum>
  <w:abstractNum w:abstractNumId="205">
    <w:nsid w:val="788BD9B"/>
    <w:multiLevelType w:val="hybridMultilevel"/>
    <w:lvl w:ilvl="0">
      <w:lvlJc w:val="left"/>
      <w:lvlText w:val="%1"/>
      <w:numFmt w:val="lowerLetter"/>
      <w:start w:val="1"/>
    </w:lvl>
    <w:lvl w:ilvl="1">
      <w:lvlJc w:val="left"/>
      <w:lvlText w:val="(%2)"/>
      <w:numFmt w:val="lowerRoman"/>
      <w:start w:val="9"/>
    </w:lvl>
  </w:abstractNum>
  <w:abstractNum w:abstractNumId="206">
    <w:nsid w:val="47CAA567"/>
    <w:multiLevelType w:val="hybridMultilevel"/>
    <w:lvl w:ilvl="0">
      <w:lvlJc w:val="left"/>
      <w:lvlText w:val="(%1)"/>
      <w:numFmt w:val="lowerLetter"/>
      <w:start w:val="3"/>
    </w:lvl>
    <w:lvl w:ilvl="1">
      <w:lvlJc w:val="left"/>
      <w:lvlText w:val="(%2)"/>
      <w:numFmt w:val="lowerRoman"/>
      <w:start w:val="1"/>
    </w:lvl>
  </w:abstractNum>
  <w:abstractNum w:abstractNumId="207">
    <w:nsid w:val="48249DBF"/>
    <w:multiLevelType w:val="hybridMultilevel"/>
    <w:lvl w:ilvl="0">
      <w:lvlJc w:val="left"/>
      <w:lvlText w:val="%1."/>
      <w:numFmt w:val="decimal"/>
      <w:start w:val="3"/>
    </w:lvl>
    <w:lvl w:ilvl="1">
      <w:lvlJc w:val="left"/>
      <w:lvlText w:val="(%2)"/>
      <w:numFmt w:val="lowerLetter"/>
      <w:start w:val="1"/>
    </w:lvl>
  </w:abstractNum>
  <w:abstractNum w:abstractNumId="208">
    <w:nsid w:val="1F0E5D0D"/>
    <w:multiLevelType w:val="hybridMultilevel"/>
    <w:lvl w:ilvl="0">
      <w:lvlJc w:val="left"/>
      <w:lvlText w:val="%1"/>
      <w:numFmt w:val="decimal"/>
      <w:start w:val="1"/>
    </w:lvl>
    <w:lvl w:ilvl="1">
      <w:lvlJc w:val="left"/>
      <w:lvlText w:val="(%2)"/>
      <w:numFmt w:val="lowerLetter"/>
      <w:start w:val="2"/>
    </w:lvl>
  </w:abstractNum>
  <w:abstractNum w:abstractNumId="209">
    <w:nsid w:val="26BAAE9"/>
    <w:multiLevelType w:val="hybridMultilevel"/>
    <w:lvl w:ilvl="0">
      <w:lvlJc w:val="left"/>
      <w:lvlText w:val="%1."/>
      <w:numFmt w:val="decimal"/>
      <w:start w:val="5"/>
    </w:lvl>
    <w:lvl w:ilvl="1">
      <w:lvlJc w:val="left"/>
      <w:lvlText w:val="%2"/>
      <w:numFmt w:val="lowerLetter"/>
      <w:start w:val="1"/>
    </w:lvl>
  </w:abstractNum>
  <w:abstractNum w:abstractNumId="210">
    <w:nsid w:val="2C02FE8C"/>
    <w:multiLevelType w:val="hybridMultilevel"/>
    <w:lvl w:ilvl="0">
      <w:lvlJc w:val="left"/>
      <w:lvlText w:val="(%1)"/>
      <w:numFmt w:val="lowerLetter"/>
      <w:start w:val="1"/>
    </w:lvl>
    <w:lvl w:ilvl="1">
      <w:lvlJc w:val="left"/>
      <w:lvlText w:val="(%2)"/>
      <w:numFmt w:val="lowerRoman"/>
      <w:start w:val="1"/>
    </w:lvl>
  </w:abstractNum>
  <w:abstractNum w:abstractNumId="211">
    <w:nsid w:val="12951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212">
    <w:nsid w:val="763B8C4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213">
    <w:nsid w:val="4CFB8D32"/>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5"/>
    </w:lvl>
  </w:abstractNum>
  <w:abstractNum w:abstractNumId="214">
    <w:nsid w:val="62A5D5BD"/>
    <w:multiLevelType w:val="hybridMultilevel"/>
    <w:lvl w:ilvl="0">
      <w:lvlJc w:val="left"/>
      <w:lvlText w:val="(%1)"/>
      <w:numFmt w:val="lowerRoman"/>
      <w:start w:val="3"/>
    </w:lvl>
  </w:abstractNum>
  <w:abstractNum w:abstractNumId="215">
    <w:nsid w:val="718FABF9"/>
    <w:multiLevelType w:val="hybridMultilevel"/>
    <w:lvl w:ilvl="0">
      <w:lvlJc w:val="left"/>
      <w:lvlText w:val="(%1)"/>
      <w:numFmt w:val="lowerLetter"/>
      <w:start w:val="6"/>
    </w:lvl>
  </w:abstractNum>
  <w:abstractNum w:abstractNumId="216">
    <w:nsid w:val="7775797C"/>
    <w:multiLevelType w:val="hybridMultilevel"/>
    <w:lvl w:ilvl="0">
      <w:lvlJc w:val="left"/>
      <w:lvlText w:val="%1"/>
      <w:numFmt w:val="decimal"/>
      <w:start w:val="1"/>
    </w:lvl>
    <w:lvl w:ilvl="1">
      <w:lvlJc w:val="left"/>
      <w:lvlText w:val="(%2)"/>
      <w:numFmt w:val="lowerLetter"/>
      <w:start w:val="9"/>
    </w:lvl>
  </w:abstractNum>
  <w:abstractNum w:abstractNumId="217">
    <w:nsid w:val="1626FB8C"/>
    <w:multiLevelType w:val="hybridMultilevel"/>
    <w:lvl w:ilvl="0">
      <w:lvlJc w:val="left"/>
      <w:lvlText w:val="(%1)"/>
      <w:numFmt w:val="decimal"/>
      <w:start w:val="6"/>
    </w:lvl>
    <w:lvl w:ilvl="1">
      <w:lvlJc w:val="left"/>
      <w:lvlText w:val="%2"/>
      <w:numFmt w:val="lowerLetter"/>
      <w:start w:val="1"/>
    </w:lvl>
  </w:abstractNum>
  <w:abstractNum w:abstractNumId="218">
    <w:nsid w:val="3957756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9">
    <w:nsid w:val="3E6DA1C7"/>
    <w:multiLevelType w:val="hybridMultilevel"/>
    <w:lvl w:ilvl="0">
      <w:lvlJc w:val="left"/>
      <w:lvlText w:val="(%1)"/>
      <w:numFmt w:val="lowerLetter"/>
      <w:start w:val="2"/>
    </w:lvl>
    <w:lvl w:ilvl="1">
      <w:lvlJc w:val="left"/>
      <w:lvlText w:val="(%2)"/>
      <w:numFmt w:val="lowerRoman"/>
      <w:start w:val="1"/>
    </w:lvl>
  </w:abstractNum>
  <w:abstractNum w:abstractNumId="220">
    <w:nsid w:val="65CA23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1">
    <w:nsid w:val="51CB0DA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2">
    <w:nsid w:val="7B9B743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3">
    <w:nsid w:val="13E21002"/>
    <w:multiLevelType w:val="hybridMultilevel"/>
    <w:lvl w:ilvl="0">
      <w:lvlJc w:val="left"/>
      <w:lvlText w:val="%1"/>
      <w:numFmt w:val="decimal"/>
      <w:start w:val="1"/>
    </w:lvl>
    <w:lvl w:ilvl="1">
      <w:lvlJc w:val="left"/>
      <w:lvlText w:val="(%2)"/>
      <w:numFmt w:val="lowerLetter"/>
      <w:start w:val="2"/>
    </w:lvl>
  </w:abstractNum>
  <w:abstractNum w:abstractNumId="224">
    <w:nsid w:val="257D63F4"/>
    <w:multiLevelType w:val="hybridMultilevel"/>
    <w:lvl w:ilvl="0">
      <w:lvlJc w:val="left"/>
      <w:lvlText w:val="%1."/>
      <w:numFmt w:val="decimal"/>
      <w:start w:val="8"/>
    </w:lvl>
    <w:lvl w:ilvl="1">
      <w:lvlJc w:val="left"/>
      <w:lvlText w:val="(%2)"/>
      <w:numFmt w:val="lowerLetter"/>
      <w:start w:val="1"/>
    </w:lvl>
  </w:abstractNum>
  <w:abstractNum w:abstractNumId="225">
    <w:nsid w:val="70EC11B2"/>
    <w:multiLevelType w:val="hybridMultilevel"/>
    <w:lvl w:ilvl="0">
      <w:lvlJc w:val="left"/>
      <w:lvlText w:val="(%1)"/>
      <w:numFmt w:val="lowerLetter"/>
      <w:start w:val="5"/>
    </w:lvl>
  </w:abstractNum>
  <w:abstractNum w:abstractNumId="226">
    <w:nsid w:val="2EDA00ED"/>
    <w:multiLevelType w:val="hybridMultilevel"/>
    <w:lvl w:ilvl="0">
      <w:lvlJc w:val="left"/>
      <w:lvlText w:val="(%1)"/>
      <w:numFmt w:val="lowerLetter"/>
      <w:start w:val="8"/>
    </w:lvl>
  </w:abstractNum>
  <w:abstractNum w:abstractNumId="227">
    <w:nsid w:val="73209072"/>
    <w:multiLevelType w:val="hybridMultilevel"/>
    <w:lvl w:ilvl="0">
      <w:lvlJc w:val="left"/>
      <w:lvlText w:val="%1"/>
      <w:numFmt w:val="decimal"/>
      <w:start w:val="1"/>
    </w:lvl>
    <w:lvl w:ilvl="1">
      <w:lvlJc w:val="left"/>
      <w:lvlText w:val="(%2)"/>
      <w:numFmt w:val="lowerLetter"/>
      <w:start w:val="11"/>
    </w:lvl>
  </w:abstractNum>
  <w:abstractNum w:abstractNumId="228">
    <w:nsid w:val="5FB29816"/>
    <w:multiLevelType w:val="hybridMultilevel"/>
    <w:lvl w:ilvl="0">
      <w:lvlJc w:val="left"/>
      <w:lvlText w:val="%1."/>
      <w:numFmt w:val="decimal"/>
      <w:start w:val="9"/>
    </w:lvl>
    <w:lvl w:ilvl="1">
      <w:lvlJc w:val="left"/>
      <w:lvlText w:val="(%2)"/>
      <w:numFmt w:val="lowerLetter"/>
      <w:start w:val="1"/>
    </w:lvl>
  </w:abstractNum>
  <w:abstractNum w:abstractNumId="229">
    <w:nsid w:val="3CE732EC"/>
    <w:multiLevelType w:val="hybridMultilevel"/>
    <w:lvl w:ilvl="0">
      <w:lvlJc w:val="left"/>
      <w:lvlText w:val="(%1)"/>
      <w:numFmt w:val="lowerRoman"/>
      <w:start w:val="1"/>
    </w:lvl>
  </w:abstractNum>
  <w:abstractNum w:abstractNumId="230">
    <w:nsid w:val="22F13DF3"/>
    <w:multiLevelType w:val="hybridMultilevel"/>
    <w:lvl w:ilvl="0">
      <w:lvlJc w:val="left"/>
      <w:lvlText w:val="(%1)"/>
      <w:numFmt w:val="lowerLetter"/>
      <w:start w:val="4"/>
    </w:lvl>
  </w:abstractNum>
  <w:abstractNum w:abstractNumId="231">
    <w:nsid w:val="792B8401"/>
    <w:multiLevelType w:val="hybridMultilevel"/>
    <w:lvl w:ilvl="0">
      <w:lvlJc w:val="left"/>
      <w:lvlText w:val="%1."/>
      <w:numFmt w:val="decimal"/>
      <w:start w:val="10"/>
    </w:lvl>
    <w:lvl w:ilvl="1">
      <w:lvlJc w:val="left"/>
      <w:lvlText w:val="(%2)"/>
      <w:numFmt w:val="lowerLetter"/>
      <w:start w:val="1"/>
    </w:lvl>
  </w:abstractNum>
  <w:abstractNum w:abstractNumId="232">
    <w:nsid w:val="FA85F4D"/>
    <w:multiLevelType w:val="hybridMultilevel"/>
    <w:lvl w:ilvl="0">
      <w:lvlJc w:val="left"/>
      <w:lvlText w:val="(%1)"/>
      <w:numFmt w:val="lowerLetter"/>
      <w:start w:val="7"/>
    </w:lvl>
    <w:lvl w:ilvl="1">
      <w:lvlJc w:val="left"/>
      <w:lvlText w:val="(%2)"/>
      <w:numFmt w:val="lowerRoman"/>
      <w:start w:val="1"/>
    </w:lvl>
  </w:abstractNum>
  <w:abstractNum w:abstractNumId="233">
    <w:nsid w:val="6ECE91F0"/>
    <w:multiLevelType w:val="hybridMultilevel"/>
    <w:lvl w:ilvl="0">
      <w:lvlJc w:val="left"/>
      <w:lvlText w:val="(%1)"/>
      <w:numFmt w:val="lowerRoman"/>
      <w:start w:val="4"/>
    </w:lvl>
  </w:abstractNum>
  <w:abstractNum w:abstractNumId="234">
    <w:nsid w:val="4FC4D600"/>
    <w:multiLevelType w:val="hybridMultilevel"/>
    <w:lvl w:ilvl="0">
      <w:lvlJc w:val="left"/>
      <w:lvlText w:val="(%1)"/>
      <w:numFmt w:val="lowerLetter"/>
      <w:start w:val="8"/>
    </w:lvl>
  </w:abstractNum>
  <w:abstractNum w:abstractNumId="235">
    <w:nsid w:val="5BFD4210"/>
    <w:multiLevelType w:val="hybridMultilevel"/>
    <w:lvl w:ilvl="0">
      <w:lvlJc w:val="left"/>
      <w:lvlText w:val="(%1)"/>
      <w:numFmt w:val="lowerLetter"/>
      <w:start w:val="13"/>
    </w:lvl>
    <w:lvl w:ilvl="1">
      <w:lvlJc w:val="left"/>
      <w:lvlText w:val="(%2)"/>
      <w:numFmt w:val="lowerRoman"/>
      <w:start w:val="1"/>
    </w:lvl>
  </w:abstractNum>
  <w:abstractNum w:abstractNumId="236">
    <w:nsid w:val="76574F8B"/>
    <w:multiLevelType w:val="hybridMultilevel"/>
    <w:lvl w:ilvl="0">
      <w:lvlJc w:val="left"/>
      <w:lvlText w:val="%1"/>
      <w:numFmt w:val="decimal"/>
      <w:start w:val="1"/>
    </w:lvl>
    <w:lvl w:ilvl="1">
      <w:lvlJc w:val="left"/>
      <w:lvlText w:val="(%2)"/>
      <w:numFmt w:val="lowerLetter"/>
      <w:start w:val="16"/>
    </w:lvl>
    <w:lvl w:ilvl="2">
      <w:lvlJc w:val="left"/>
      <w:lvlText w:val="%3"/>
      <w:numFmt w:val="lowerLetter"/>
      <w:start w:val="1"/>
    </w:lvl>
  </w:abstractNum>
  <w:abstractNum w:abstractNumId="237">
    <w:nsid w:val="178F7B67"/>
    <w:multiLevelType w:val="hybridMultilevel"/>
    <w:lvl w:ilvl="0">
      <w:lvlJc w:val="left"/>
      <w:lvlText w:val="(%1)"/>
      <w:numFmt w:val="decimal"/>
      <w:start w:val="3"/>
    </w:lvl>
    <w:lvl w:ilvl="1">
      <w:lvlJc w:val="left"/>
      <w:lvlText w:val="(%2)"/>
      <w:numFmt w:val="lowerLetter"/>
      <w:start w:val="17"/>
    </w:lvl>
    <w:lvl w:ilvl="2">
      <w:lvlJc w:val="left"/>
      <w:lvlText w:val="(%3)"/>
      <w:numFmt w:val="lowerLetter"/>
      <w:start w:val="9"/>
    </w:lvl>
  </w:abstractNum>
  <w:abstractNum w:abstractNumId="238">
    <w:nsid w:val="2421DFC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39">
    <w:nsid w:val="1565AC99"/>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240">
    <w:nsid w:val="19FB2650"/>
    <w:multiLevelType w:val="hybridMultilevel"/>
    <w:lvl w:ilvl="0">
      <w:lvlJc w:val="left"/>
      <w:lvlText w:val="(%1)"/>
      <w:numFmt w:val="lowerLetter"/>
      <w:start w:val="35"/>
    </w:lvl>
    <w:lvl w:ilvl="1">
      <w:lvlJc w:val="left"/>
      <w:lvlText w:val="(%2)"/>
      <w:numFmt w:val="lowerLetter"/>
      <w:start w:val="25"/>
    </w:lvl>
    <w:lvl w:ilvl="2">
      <w:lvlJc w:val="left"/>
      <w:lvlText w:val="%3"/>
      <w:numFmt w:val="lowerRoman"/>
      <w:start w:val="1"/>
    </w:lvl>
  </w:abstractNum>
  <w:abstractNum w:abstractNumId="241">
    <w:nsid w:val="5024DE5B"/>
    <w:multiLevelType w:val="hybridMultilevel"/>
    <w:lvl w:ilvl="0">
      <w:lvlJc w:val="left"/>
      <w:lvlText w:val="(%1)"/>
      <w:numFmt w:val="lowerLetter"/>
      <w:start w:val="27"/>
    </w:lvl>
  </w:abstractNum>
  <w:abstractNum w:abstractNumId="242">
    <w:nsid w:val="168EFE17"/>
    <w:multiLevelType w:val="hybridMultilevel"/>
    <w:lvl w:ilvl="0">
      <w:lvlJc w:val="left"/>
      <w:lvlText w:val="%1"/>
      <w:numFmt w:val="lowerRoman"/>
      <w:start w:val="1"/>
    </w:lvl>
    <w:lvl w:ilvl="1">
      <w:lvlJc w:val="left"/>
      <w:lvlText w:val="(%2)"/>
      <w:numFmt w:val="lowerLetter"/>
      <w:start w:val="33"/>
    </w:lvl>
  </w:abstractNum>
  <w:abstractNum w:abstractNumId="243">
    <w:nsid w:val="1036B29F"/>
    <w:multiLevelType w:val="hybridMultilevel"/>
    <w:lvl w:ilvl="0">
      <w:lvlJc w:val="left"/>
      <w:lvlText w:val="(%1)"/>
      <w:numFmt w:val="lowerRoman"/>
      <w:start w:val="9"/>
    </w:lvl>
    <w:lvl w:ilvl="1">
      <w:lvlJc w:val="left"/>
      <w:lvlText w:val="%2"/>
      <w:numFmt w:val="lowerLetter"/>
      <w:start w:val="1"/>
    </w:lvl>
  </w:abstractNum>
  <w:abstractNum w:abstractNumId="244">
    <w:nsid w:val="1D206B8E"/>
    <w:multiLevelType w:val="hybridMultilevel"/>
    <w:lvl w:ilvl="0">
      <w:lvlJc w:val="left"/>
      <w:lvlText w:val="(%1)"/>
      <w:numFmt w:val="lowerRoman"/>
      <w:start w:val="17"/>
    </w:lvl>
    <w:lvl w:ilvl="1">
      <w:lvlJc w:val="left"/>
      <w:lvlText w:val="%2"/>
      <w:numFmt w:val="lowerLetter"/>
      <w:start w:val="1"/>
    </w:lvl>
  </w:abstractNum>
  <w:abstractNum w:abstractNumId="245">
    <w:nsid w:val="7934D3D4"/>
    <w:multiLevelType w:val="hybridMultilevel"/>
    <w:lvl w:ilvl="0">
      <w:lvlJc w:val="left"/>
      <w:lvlText w:val="(%1)"/>
      <w:numFmt w:val="lowerLetter"/>
      <w:start w:val="36"/>
    </w:lvl>
  </w:abstractNum>
  <w:abstractNum w:abstractNumId="246">
    <w:nsid w:val="1C65E98"/>
    <w:multiLevelType w:val="hybridMultilevel"/>
    <w:lvl w:ilvl="0">
      <w:lvlJc w:val="left"/>
      <w:lvlText w:val="(%1)"/>
      <w:numFmt w:val="lowerLetter"/>
      <w:start w:val="37"/>
    </w:lvl>
  </w:abstractNum>
  <w:abstractNum w:abstractNumId="247">
    <w:nsid w:val="1495E50A"/>
    <w:multiLevelType w:val="hybridMultilevel"/>
    <w:lvl w:ilvl="0">
      <w:lvlJc w:val="left"/>
      <w:lvlText w:val="(%1)"/>
      <w:numFmt w:val="lowerLetter"/>
      <w:start w:val="49"/>
    </w:lvl>
  </w:abstractNum>
  <w:abstractNum w:abstractNumId="248">
    <w:nsid w:val="F5BCF61"/>
    <w:multiLevelType w:val="hybridMultilevel"/>
    <w:lvl w:ilvl="0">
      <w:lvlJc w:val="left"/>
      <w:lvlText w:val="%1"/>
      <w:numFmt w:val="lowerRoman"/>
      <w:start w:val="1"/>
    </w:lvl>
    <w:lvl w:ilvl="1">
      <w:lvlJc w:val="left"/>
      <w:lvlText w:val="%2."/>
      <w:numFmt w:val="decimal"/>
      <w:start w:val="14"/>
    </w:lvl>
  </w:abstractNum>
  <w:abstractNum w:abstractNumId="249">
    <w:nsid w:val="3B1DD403"/>
    <w:multiLevelType w:val="hybridMultilevel"/>
    <w:lvl w:ilvl="0">
      <w:lvlJc w:val="left"/>
      <w:lvlText w:val="(%1)"/>
      <w:numFmt w:val="lowerRoman"/>
      <w:start w:val="1"/>
    </w:lvl>
    <w:lvl w:ilvl="1">
      <w:lvlJc w:val="left"/>
      <w:lvlText w:val="%2."/>
      <w:numFmt w:val="decimal"/>
      <w:start w:val="17"/>
    </w:lvl>
  </w:abstractNum>
  <w:abstractNum w:abstractNumId="250">
    <w:nsid w:val="530386D1"/>
    <w:multiLevelType w:val="hybridMultilevel"/>
    <w:lvl w:ilvl="0">
      <w:lvlJc w:val="left"/>
      <w:lvlText w:val="%1"/>
      <w:numFmt w:val="decimal"/>
      <w:start w:val="1"/>
    </w:lvl>
    <w:lvl w:ilvl="1">
      <w:lvlJc w:val="left"/>
      <w:lvlText w:val="(%2)"/>
      <w:numFmt w:val="lowerLetter"/>
      <w:start w:val="1"/>
    </w:lvl>
  </w:abstractNum>
  <w:abstractNum w:abstractNumId="251">
    <w:nsid w:val="7525F2BC"/>
    <w:multiLevelType w:val="hybridMultilevel"/>
    <w:lvl w:ilvl="0">
      <w:lvlJc w:val="left"/>
      <w:lvlText w:val="%1."/>
      <w:numFmt w:val="decimal"/>
      <w:start w:val="18"/>
    </w:lvl>
    <w:lvl w:ilvl="1">
      <w:lvlJc w:val="left"/>
      <w:lvlText w:val="(%2)"/>
      <w:numFmt w:val="lowerLetter"/>
      <w:start w:val="1"/>
    </w:lvl>
  </w:abstractNum>
  <w:abstractNum w:abstractNumId="252">
    <w:nsid w:val="CE8E1A7"/>
    <w:multiLevelType w:val="hybridMultilevel"/>
    <w:lvl w:ilvl="0">
      <w:lvlJc w:val="left"/>
      <w:lvlText w:val="%1"/>
      <w:numFmt w:val="decimal"/>
      <w:start w:val="1"/>
    </w:lvl>
    <w:lvl w:ilvl="1">
      <w:lvlJc w:val="left"/>
      <w:lvlText w:val="(%2)"/>
      <w:numFmt w:val="lowerLetter"/>
      <w:start w:val="3"/>
    </w:lvl>
  </w:abstractNum>
  <w:abstractNum w:abstractNumId="253">
    <w:nsid w:val="4E9EFB0D"/>
    <w:multiLevelType w:val="hybridMultilevel"/>
    <w:lvl w:ilvl="0">
      <w:lvlJc w:val="left"/>
      <w:lvlText w:val="%1."/>
      <w:numFmt w:val="decimal"/>
      <w:start w:val="21"/>
    </w:lvl>
    <w:lvl w:ilvl="1">
      <w:lvlJc w:val="left"/>
      <w:lvlText w:val="(%2)"/>
      <w:numFmt w:val="lowerLetter"/>
      <w:start w:val="1"/>
    </w:lvl>
  </w:abstractNum>
  <w:abstractNum w:abstractNumId="254">
    <w:nsid w:val="90802BE"/>
    <w:multiLevelType w:val="hybridMultilevel"/>
    <w:lvl w:ilvl="0">
      <w:lvlJc w:val="left"/>
      <w:lvlText w:val="%1"/>
      <w:numFmt w:val="decimal"/>
      <w:start w:val="1"/>
    </w:lvl>
    <w:lvl w:ilvl="1">
      <w:lvlJc w:val="left"/>
      <w:lvlText w:val="(%2)"/>
      <w:numFmt w:val="lowerLetter"/>
      <w:start w:val="1"/>
    </w:lvl>
  </w:abstractNum>
  <w:abstractNum w:abstractNumId="255">
    <w:nsid w:val="3266459B"/>
    <w:multiLevelType w:val="hybridMultilevel"/>
    <w:lvl w:ilvl="0">
      <w:lvlJc w:val="left"/>
      <w:lvlText w:val="%1."/>
      <w:numFmt w:val="decimal"/>
      <w:start w:val="23"/>
    </w:lvl>
    <w:lvl w:ilvl="1">
      <w:lvlJc w:val="left"/>
      <w:lvlText w:val="(%2)"/>
      <w:numFmt w:val="lowerLetter"/>
      <w:start w:val="1"/>
    </w:lvl>
  </w:abstractNum>
  <w:abstractNum w:abstractNumId="256">
    <w:nsid w:val="3F8B0CBF"/>
    <w:multiLevelType w:val="hybridMultilevel"/>
    <w:lvl w:ilvl="0">
      <w:lvlJc w:val="left"/>
      <w:lvlText w:val="%1"/>
      <w:numFmt w:val="decimal"/>
      <w:start w:val="1"/>
    </w:lvl>
    <w:lvl w:ilvl="1">
      <w:lvlJc w:val="left"/>
      <w:lvlText w:val="(%2)"/>
      <w:numFmt w:val="lowerLetter"/>
      <w:start w:val="3"/>
    </w:lvl>
  </w:abstractNum>
  <w:abstractNum w:abstractNumId="257">
    <w:nsid w:val="37E203AB"/>
    <w:multiLevelType w:val="hybridMultilevel"/>
    <w:lvl w:ilvl="0">
      <w:lvlJc w:val="left"/>
      <w:lvlText w:val="%1."/>
      <w:numFmt w:val="decimal"/>
      <w:start w:val="25"/>
    </w:lvl>
    <w:lvl w:ilvl="1">
      <w:lvlJc w:val="left"/>
      <w:lvlText w:val="%2"/>
      <w:numFmt w:val="lowerLetter"/>
      <w:start w:val="1"/>
    </w:lvl>
  </w:abstractNum>
  <w:abstractNum w:abstractNumId="258">
    <w:nsid w:val="2586D60E"/>
    <w:multiLevelType w:val="hybridMultilevel"/>
    <w:lvl w:ilvl="0">
      <w:lvlJc w:val="left"/>
      <w:lvlText w:val="%1."/>
      <w:numFmt w:val="decimal"/>
      <w:start w:val="29"/>
    </w:lvl>
    <w:lvl w:ilvl="1">
      <w:lvlJc w:val="left"/>
      <w:lvlText w:val="(%2)"/>
      <w:numFmt w:val="lowerLetter"/>
      <w:start w:val="1"/>
    </w:lvl>
  </w:abstractNum>
  <w:abstractNum w:abstractNumId="259">
    <w:nsid w:val="1F3DA4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0">
    <w:nsid w:val="74C9369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61">
    <w:nsid w:val="48781401"/>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4"/>
    </w:lvl>
  </w:abstractNum>
  <w:abstractNum w:abstractNumId="262">
    <w:nsid w:val="186928D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3">
    <w:nsid w:val="47195E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64">
    <w:nsid w:val="3746A5F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65">
    <w:nsid w:val="682DFED6"/>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66">
    <w:nsid w:val="606ED7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67">
    <w:nsid w:val="2D9DF57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8">
    <w:nsid w:val="7FBD7A3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9">
    <w:nsid w:val="490B7C5"/>
    <w:multiLevelType w:val="hybridMultilevel"/>
    <w:lvl w:ilvl="0">
      <w:lvlJc w:val="left"/>
      <w:lvlText w:val="(%1)"/>
      <w:numFmt w:val="lowerLetter"/>
      <w:start w:val="1"/>
    </w:lvl>
  </w:abstractNum>
  <w:abstractNum w:abstractNumId="270">
    <w:nsid w:val="4303A216"/>
    <w:multiLevelType w:val="hybridMultilevel"/>
    <w:lvl w:ilvl="0">
      <w:lvlJc w:val="left"/>
      <w:lvlText w:val="%1"/>
      <w:numFmt w:val="lowerLetter"/>
      <w:start w:val="1"/>
    </w:lvl>
    <w:lvl w:ilvl="1">
      <w:lvlJc w:val="left"/>
      <w:lvlText w:val="(%2)"/>
      <w:numFmt w:val="lowerRoman"/>
      <w:start w:val="1"/>
    </w:lvl>
  </w:abstractNum>
  <w:abstractNum w:abstractNumId="271">
    <w:nsid w:val="19B8A08E"/>
    <w:multiLevelType w:val="hybridMultilevel"/>
    <w:lvl w:ilvl="0">
      <w:lvlJc w:val="left"/>
      <w:lvlText w:val="(%1)"/>
      <w:numFmt w:val="lowerLetter"/>
      <w:start w:val="4"/>
    </w:lvl>
    <w:lvl w:ilvl="1">
      <w:lvlJc w:val="left"/>
      <w:lvlText w:val="%2"/>
      <w:numFmt w:val="lowerRoman"/>
      <w:start w:val="1"/>
    </w:lvl>
  </w:abstractNum>
  <w:abstractNum w:abstractNumId="272">
    <w:nsid w:val="54B59621"/>
    <w:multiLevelType w:val="hybridMultilevel"/>
    <w:lvl w:ilvl="0">
      <w:lvlJc w:val="left"/>
      <w:lvlText w:val="%1"/>
      <w:numFmt w:val="lowerLetter"/>
      <w:start w:val="1"/>
    </w:lvl>
    <w:lvl w:ilvl="1">
      <w:lvlJc w:val="left"/>
      <w:lvlText w:val="(%2)"/>
      <w:numFmt w:val="lowerRoman"/>
      <w:start w:val="1"/>
    </w:lvl>
  </w:abstractNum>
  <w:abstractNum w:abstractNumId="273">
    <w:nsid w:val="5992A02E"/>
    <w:multiLevelType w:val="hybridMultilevel"/>
    <w:lvl w:ilvl="0">
      <w:lvlJc w:val="left"/>
      <w:lvlText w:val="(%1)"/>
      <w:numFmt w:val="lowerLetter"/>
      <w:start w:val="6"/>
    </w:lvl>
    <w:lvl w:ilvl="1">
      <w:lvlJc w:val="left"/>
      <w:lvlText w:val="(%2)"/>
      <w:numFmt w:val="lowerRoman"/>
      <w:start w:val="1"/>
    </w:lvl>
  </w:abstractNum>
  <w:abstractNum w:abstractNumId="274">
    <w:nsid w:val="29EF53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4"/>
      <w:numFmt w:val="lowerRoman"/>
      <w:start w:val="1"/>
    </w:lvl>
    <w:lvl w:ilvl="4">
      <w:lvlJc w:val="left"/>
      <w:lvlText w:val="%5"/>
      <w:numFmt w:val="decimal"/>
      <w:start w:val="1"/>
    </w:lvl>
  </w:abstractNum>
  <w:abstractNum w:abstractNumId="275">
    <w:nsid w:val="71D601AF"/>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1"/>
    </w:lvl>
    <w:lvl w:ilvl="3">
      <w:lvlJc w:val="left"/>
      <w:lvlText w:val="%4"/>
      <w:numFmt w:val="lowerRoman"/>
      <w:start w:val="1"/>
    </w:lvl>
    <w:lvl w:ilvl="4">
      <w:lvlJc w:val="left"/>
      <w:lvlText w:val="%5"/>
      <w:numFmt w:val="decimal"/>
      <w:start w:val="1"/>
    </w:lvl>
  </w:abstractNum>
  <w:abstractNum w:abstractNumId="276">
    <w:nsid w:val="52C774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decimal"/>
      <w:start w:val="1"/>
    </w:lvl>
  </w:abstractNum>
  <w:abstractNum w:abstractNumId="277">
    <w:nsid w:val="2BB5B1C6"/>
    <w:multiLevelType w:val="hybridMultilevel"/>
    <w:lvl w:ilvl="0">
      <w:lvlJc w:val="left"/>
      <w:lvlText w:val="%1"/>
      <w:numFmt w:val="lowerRoman"/>
      <w:start w:val="1"/>
    </w:lvl>
    <w:lvl w:ilvl="1">
      <w:lvlJc w:val="left"/>
      <w:lvlText w:val="(%2)"/>
      <w:numFmt w:val="decimal"/>
      <w:start w:val="2"/>
    </w:lvl>
  </w:abstractNum>
  <w:abstractNum w:abstractNumId="278">
    <w:nsid w:val="66BE6B9"/>
    <w:multiLevelType w:val="hybridMultilevel"/>
    <w:lvl w:ilvl="0">
      <w:lvlJc w:val="left"/>
      <w:lvlText w:val="(%1)"/>
      <w:numFmt w:val="lowerRoman"/>
      <w:start w:val="2"/>
    </w:lvl>
    <w:lvl w:ilvl="1">
      <w:lvlJc w:val="left"/>
      <w:lvlText w:val="(%2)"/>
      <w:numFmt w:val="decimal"/>
      <w:start w:val="1"/>
    </w:lvl>
  </w:abstractNum>
  <w:abstractNum w:abstractNumId="279">
    <w:nsid w:val="622343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80">
    <w:nsid w:val="66D385C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1">
    <w:nsid w:val="596F6D8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2">
    <w:nsid w:val="5749361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83">
    <w:nsid w:val="73BC6770"/>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3"/>
    </w:lvl>
  </w:abstractNum>
  <w:abstractNum w:abstractNumId="284">
    <w:nsid w:val="280E689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85">
    <w:nsid w:val="605138DE"/>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286">
    <w:nsid w:val="2622AD0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87">
    <w:nsid w:val="67997556"/>
    <w:multiLevelType w:val="hybridMultilevel"/>
    <w:lvl w:ilvl="0">
      <w:lvlJc w:val="left"/>
      <w:lvlText w:val="%1"/>
      <w:numFmt w:val="lowerLetter"/>
      <w:start w:val="1"/>
    </w:lvl>
    <w:lvl w:ilvl="1">
      <w:lvlJc w:val="left"/>
      <w:lvlText w:val="(%2)"/>
      <w:numFmt w:val="lowerRoman"/>
      <w:start w:val="4"/>
    </w:lvl>
  </w:abstractNum>
  <w:abstractNum w:abstractNumId="288">
    <w:nsid w:val="18333C89"/>
    <w:multiLevelType w:val="hybridMultilevel"/>
    <w:lvl w:ilvl="0">
      <w:lvlJc w:val="left"/>
      <w:lvlText w:val="(%1)"/>
      <w:numFmt w:val="lowerLetter"/>
      <w:start w:val="3"/>
    </w:lvl>
    <w:lvl w:ilvl="1">
      <w:lvlJc w:val="left"/>
      <w:lvlText w:val="%2"/>
      <w:numFmt w:val="lowerRoman"/>
      <w:start w:val="1"/>
    </w:lvl>
  </w:abstractNum>
  <w:abstractNum w:abstractNumId="289">
    <w:nsid w:val="4BA983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0">
    <w:nsid w:val="6D71A2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1">
    <w:nsid w:val="CFC732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2">
    <w:nsid w:val="1421971B"/>
    <w:multiLevelType w:val="hybridMultilevel"/>
    <w:lvl w:ilvl="0">
      <w:lvlJc w:val="left"/>
      <w:lvlText w:val="(%1)"/>
      <w:numFmt w:val="lowerRoman"/>
      <w:start w:val="4"/>
    </w:lvl>
    <w:lvl w:ilvl="1">
      <w:lvlJc w:val="left"/>
      <w:lvlText w:val="%2."/>
      <w:numFmt w:val="decimal"/>
      <w:start w:val="8"/>
    </w:lvl>
    <w:lvl w:ilvl="2">
      <w:lvlJc w:val="left"/>
      <w:lvlText w:val="(%3)"/>
      <w:numFmt w:val="lowerLetter"/>
      <w:start w:val="3"/>
    </w:lvl>
  </w:abstractNum>
  <w:abstractNum w:abstractNumId="293">
    <w:nsid w:val="1F40430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94">
    <w:nsid w:val="116E0907"/>
    <w:multiLevelType w:val="hybridMultilevel"/>
    <w:lvl w:ilvl="0">
      <w:lvlJc w:val="left"/>
      <w:lvlText w:val="%1"/>
      <w:numFmt w:val="lowerLetter"/>
      <w:start w:val="1"/>
    </w:lvl>
    <w:lvl w:ilvl="1">
      <w:lvlJc w:val="left"/>
      <w:lvlText w:val="(%2)"/>
      <w:numFmt w:val="lowerLetter"/>
      <w:start w:val="4"/>
    </w:lvl>
  </w:abstractNum>
  <w:abstractNum w:abstractNumId="295">
    <w:nsid w:val="4B683D0D"/>
    <w:multiLevelType w:val="hybridMultilevel"/>
    <w:lvl w:ilvl="0">
      <w:lvlJc w:val="left"/>
      <w:lvlText w:val="(%1)"/>
      <w:numFmt w:val="lowerLetter"/>
      <w:start w:val="35"/>
    </w:lvl>
    <w:lvl w:ilvl="1">
      <w:lvlJc w:val="left"/>
      <w:lvlText w:val="(%2)"/>
      <w:numFmt w:val="lowerLetter"/>
      <w:start w:val="6"/>
    </w:lvl>
  </w:abstractNum>
  <w:abstractNum w:abstractNumId="296">
    <w:nsid w:val="76E41D8"/>
    <w:multiLevelType w:val="hybridMultilevel"/>
    <w:lvl w:ilvl="0">
      <w:lvlJc w:val="left"/>
      <w:lvlText w:val="(%1)"/>
      <w:numFmt w:val="lowerLetter"/>
      <w:start w:val="9"/>
    </w:lvl>
  </w:abstractNum>
  <w:abstractNum w:abstractNumId="297">
    <w:nsid w:val="71DCE0FD"/>
    <w:multiLevelType w:val="hybridMultilevel"/>
    <w:lvl w:ilvl="0">
      <w:lvlJc w:val="left"/>
      <w:lvlText w:val="%1"/>
      <w:numFmt w:val="decimal"/>
      <w:start w:val="1"/>
    </w:lvl>
    <w:lvl w:ilvl="1">
      <w:lvlJc w:val="left"/>
      <w:lvlText w:val="(%2)"/>
      <w:numFmt w:val="lowerLetter"/>
      <w:start w:val="15"/>
    </w:lvl>
  </w:abstractNum>
  <w:abstractNum w:abstractNumId="298">
    <w:nsid w:val="7906328B"/>
    <w:multiLevelType w:val="hybridMultilevel"/>
    <w:lvl w:ilvl="0">
      <w:lvlJc w:val="left"/>
      <w:lvlText w:val="%1."/>
      <w:numFmt w:val="decimal"/>
      <w:start w:val="10"/>
    </w:lvl>
    <w:lvl w:ilvl="1">
      <w:lvlJc w:val="left"/>
      <w:lvlText w:val="%2"/>
      <w:numFmt w:val="lowerLetter"/>
      <w:start w:val="1"/>
    </w:lvl>
  </w:abstractNum>
  <w:abstractNum w:abstractNumId="299">
    <w:nsid w:val="72BBC16"/>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300">
    <w:nsid w:val="766D98C2"/>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01">
    <w:nsid w:val="3C09D4A1"/>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02">
    <w:nsid w:val="20E45CA4"/>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03">
    <w:nsid w:val="4B232EE3"/>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304">
    <w:nsid w:val="159C74CF"/>
    <w:multiLevelType w:val="hybridMultilevel"/>
    <w:lvl w:ilvl="0">
      <w:lvlJc w:val="left"/>
      <w:lvlText w:val="(%1)"/>
      <w:numFmt w:val="lowerRoman"/>
      <w:start w:val="2"/>
    </w:lvl>
  </w:abstractNum>
  <w:abstractNum w:abstractNumId="305">
    <w:nsid w:val="4AD3AFD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6">
    <w:nsid w:val="3CF9309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07">
    <w:nsid w:val="6863E8D2"/>
    <w:multiLevelType w:val="hybridMultilevel"/>
    <w:lvl w:ilvl="0">
      <w:lvlJc w:val="left"/>
      <w:lvlText w:val="%1."/>
      <w:numFmt w:val="decimal"/>
      <w:start w:val="13"/>
    </w:lvl>
  </w:abstractNum>
  <w:abstractNum w:abstractNumId="308">
    <w:nsid w:val="76896198"/>
    <w:multiLevelType w:val="hybridMultilevel"/>
    <w:lvl w:ilvl="0">
      <w:lvlJc w:val="left"/>
      <w:lvlText w:val="%1."/>
      <w:numFmt w:val="decimal"/>
      <w:start w:val="14"/>
    </w:lvl>
  </w:abstractNum>
  <w:abstractNum w:abstractNumId="309">
    <w:nsid w:val="4365174B"/>
    <w:multiLevelType w:val="hybridMultilevel"/>
    <w:lvl w:ilvl="0">
      <w:lvlJc w:val="left"/>
      <w:lvlText w:val="(%1)"/>
      <w:numFmt w:val="lowerLetter"/>
      <w:start w:val="1"/>
    </w:lvl>
  </w:abstractNum>
  <w:abstractNum w:abstractNumId="310">
    <w:nsid w:val="4A872C35"/>
    <w:multiLevelType w:val="hybridMultilevel"/>
    <w:lvl w:ilvl="0">
      <w:lvlJc w:val="left"/>
      <w:lvlText w:val="(%1)"/>
      <w:numFmt w:val="lowerLetter"/>
      <w:start w:val="9"/>
    </w:lvl>
    <w:lvl w:ilvl="1">
      <w:lvlJc w:val="left"/>
      <w:lvlText w:val="(%2)"/>
      <w:numFmt w:val="lowerRoman"/>
      <w:start w:val="1"/>
    </w:lvl>
  </w:abstractNum>
  <w:abstractNum w:abstractNumId="311">
    <w:nsid w:val="5D5CE761"/>
    <w:multiLevelType w:val="hybridMultilevel"/>
    <w:lvl w:ilvl="0">
      <w:lvlJc w:val="left"/>
      <w:lvlText w:val="(%1)"/>
      <w:numFmt w:val="lowerRoman"/>
      <w:start w:val="3"/>
    </w:lvl>
  </w:abstractNum>
  <w:abstractNum w:abstractNumId="312">
    <w:nsid w:val="1CD484D5"/>
    <w:multiLevelType w:val="hybridMultilevel"/>
    <w:lvl w:ilvl="0">
      <w:lvlJc w:val="left"/>
      <w:lvlText w:val="%1"/>
      <w:numFmt w:val="lowerLetter"/>
      <w:start w:val="1"/>
    </w:lvl>
    <w:lvl w:ilvl="1">
      <w:lvlJc w:val="left"/>
      <w:lvlText w:val="(%2)"/>
      <w:numFmt w:val="lowerLetter"/>
      <w:start w:val="11"/>
    </w:lvl>
  </w:abstractNum>
  <w:abstractNum w:abstractNumId="313">
    <w:nsid w:val="21D06255"/>
    <w:multiLevelType w:val="hybridMultilevel"/>
    <w:lvl w:ilvl="0">
      <w:lvlJc w:val="left"/>
      <w:lvlText w:val="(%1)"/>
      <w:numFmt w:val="lowerLetter"/>
      <w:start w:val="35"/>
    </w:lvl>
    <w:lvl w:ilvl="1">
      <w:lvlJc w:val="left"/>
      <w:lvlText w:val="(%2)"/>
      <w:numFmt w:val="lowerLetter"/>
      <w:start w:val="17"/>
    </w:lvl>
  </w:abstractNum>
  <w:abstractNum w:abstractNumId="314">
    <w:nsid w:val="51194ED1"/>
    <w:multiLevelType w:val="hybridMultilevel"/>
    <w:lvl w:ilvl="0">
      <w:lvlJc w:val="left"/>
      <w:lvlText w:val="(%1)"/>
      <w:numFmt w:val="lowerLetter"/>
      <w:start w:val="18"/>
    </w:lvl>
    <w:lvl w:ilvl="1">
      <w:lvlJc w:val="left"/>
      <w:lvlText w:val="(%2)"/>
      <w:numFmt w:val="lowerRoman"/>
      <w:start w:val="1"/>
    </w:lvl>
  </w:abstractNum>
  <w:abstractNum w:abstractNumId="315">
    <w:nsid w:val="44E2ED6C"/>
    <w:multiLevelType w:val="hybridMultilevel"/>
    <w:lvl w:ilvl="0">
      <w:lvlJc w:val="left"/>
      <w:lvlText w:val="(%1)"/>
      <w:numFmt w:val="lowerLetter"/>
      <w:start w:val="19"/>
    </w:lvl>
  </w:abstractNum>
  <w:abstractNum w:abstractNumId="316">
    <w:nsid w:val="2219B33"/>
    <w:multiLevelType w:val="hybridMultilevel"/>
    <w:lvl w:ilvl="0">
      <w:lvlJc w:val="left"/>
      <w:lvlText w:val="(%1)"/>
      <w:numFmt w:val="lowerLetter"/>
      <w:start w:val="21"/>
    </w:lvl>
  </w:abstractNum>
  <w:abstractNum w:abstractNumId="317">
    <w:nsid w:val="773BFBDD"/>
    <w:multiLevelType w:val="hybridMultilevel"/>
    <w:lvl w:ilvl="0">
      <w:lvlJc w:val="left"/>
      <w:lvlText w:val="(%1)"/>
      <w:numFmt w:val="lowerLetter"/>
      <w:start w:val="27"/>
    </w:lvl>
    <w:lvl w:ilvl="1">
      <w:lvlJc w:val="left"/>
      <w:lvlText w:val="(%2)"/>
      <w:numFmt w:val="lowerRoman"/>
      <w:start w:val="1"/>
    </w:lvl>
  </w:abstractNum>
  <w:abstractNum w:abstractNumId="318">
    <w:nsid w:val="2C7C62C2"/>
    <w:multiLevelType w:val="hybridMultilevel"/>
    <w:lvl w:ilvl="0">
      <w:lvlJc w:val="left"/>
      <w:lvlText w:val="(%1)"/>
      <w:numFmt w:val="lowerLetter"/>
      <w:start w:val="29"/>
    </w:lvl>
  </w:abstractNum>
  <w:abstractNum w:abstractNumId="319">
    <w:nsid w:val="1A54D7BC"/>
    <w:multiLevelType w:val="hybridMultilevel"/>
    <w:lvl w:ilvl="0">
      <w:lvlJc w:val="left"/>
      <w:lvlText w:val="(%1)"/>
      <w:numFmt w:val="lowerLetter"/>
      <w:start w:val="35"/>
    </w:lvl>
  </w:abstractNum>
  <w:abstractNum w:abstractNumId="320">
    <w:nsid w:val="42E57EF7"/>
    <w:multiLevelType w:val="hybridMultilevel"/>
    <w:lvl w:ilvl="0">
      <w:lvlJc w:val="left"/>
      <w:lvlText w:val="(%1)"/>
      <w:numFmt w:val="lowerLetter"/>
      <w:start w:val="46"/>
    </w:lvl>
  </w:abstractNum>
  <w:abstractNum w:abstractNumId="321">
    <w:nsid w:val="33537CED"/>
    <w:multiLevelType w:val="hybridMultilevel"/>
    <w:lvl w:ilvl="0">
      <w:lvlJc w:val="left"/>
      <w:lvlText w:val="(%1)"/>
      <w:numFmt w:val="decimal"/>
      <w:start w:val="7"/>
    </w:lvl>
    <w:lvl w:ilvl="1">
      <w:lvlJc w:val="left"/>
      <w:lvlText w:val="(%2)"/>
      <w:numFmt w:val="lowerLetter"/>
      <w:start w:val="50"/>
    </w:lvl>
  </w:abstractNum>
  <w:abstractNum w:abstractNumId="322">
    <w:nsid w:val="27514ADE"/>
    <w:multiLevelType w:val="hybridMultilevel"/>
    <w:lvl w:ilvl="0">
      <w:lvlJc w:val="left"/>
      <w:lvlText w:val="(%1)"/>
      <w:numFmt w:val="lowerLetter"/>
      <w:start w:val="53"/>
    </w:lvl>
  </w:abstractNum>
  <w:abstractNum w:abstractNumId="323">
    <w:nsid w:val="57071613"/>
    <w:multiLevelType w:val="hybridMultilevel"/>
    <w:lvl w:ilvl="0">
      <w:lvlJc w:val="left"/>
      <w:lvlText w:val="(%1)"/>
      <w:numFmt w:val="lowerLetter"/>
      <w:start w:val="59"/>
    </w:lvl>
  </w:abstractNum>
  <w:abstractNum w:abstractNumId="324">
    <w:nsid w:val="5293BFEF"/>
    <w:multiLevelType w:val="hybridMultilevel"/>
    <w:lvl w:ilvl="0">
      <w:lvlJc w:val="left"/>
      <w:lvlText w:val="(%1)"/>
      <w:numFmt w:val="lowerLetter"/>
      <w:start w:val="70"/>
    </w:lvl>
    <w:lvl w:ilvl="1">
      <w:lvlJc w:val="left"/>
      <w:lvlText w:val="*"/>
      <w:numFmt w:val="bullet"/>
      <w:start w:val="1"/>
    </w:lvl>
  </w:abstractNum>
  <w:abstractNum w:abstractNumId="325">
    <w:nsid w:val="38BF53E5"/>
    <w:multiLevelType w:val="hybridMultilevel"/>
    <w:lvl w:ilvl="0">
      <w:lvlJc w:val="left"/>
      <w:lvlText w:val="•"/>
      <w:numFmt w:val="bullet"/>
      <w:start w:val="1"/>
    </w:lvl>
  </w:abstractNum>
  <w:abstractNum w:abstractNumId="326">
    <w:nsid w:val="226F5320"/>
    <w:multiLevelType w:val="hybridMultilevel"/>
    <w:lvl w:ilvl="0">
      <w:lvlJc w:val="left"/>
      <w:lvlText w:val="•"/>
      <w:numFmt w:val="bullet"/>
      <w:start w:val="1"/>
    </w:lvl>
  </w:abstractNum>
  <w:abstractNum w:abstractNumId="327">
    <w:nsid w:val="5A0201C7"/>
    <w:multiLevelType w:val="hybridMultilevel"/>
    <w:lvl w:ilvl="0">
      <w:lvlJc w:val="left"/>
      <w:lvlText w:val="•"/>
      <w:numFmt w:val="bullet"/>
      <w:start w:val="1"/>
    </w:lvl>
  </w:abstractNum>
  <w:abstractNum w:abstractNumId="328">
    <w:nsid w:val="2A9C34E2"/>
    <w:multiLevelType w:val="hybridMultilevel"/>
    <w:lvl w:ilvl="0">
      <w:lvlJc w:val="left"/>
      <w:lvlText w:val="•"/>
      <w:numFmt w:val="bullet"/>
      <w:start w:val="1"/>
    </w:lvl>
  </w:abstractNum>
  <w:abstractNum w:abstractNumId="329">
    <w:nsid w:val="1B7585AB"/>
    <w:multiLevelType w:val="hybridMultilevel"/>
    <w:lvl w:ilvl="0">
      <w:lvlJc w:val="left"/>
      <w:lvlText w:val="•"/>
      <w:numFmt w:val="bullet"/>
      <w:start w:val="1"/>
    </w:lvl>
  </w:abstractNum>
  <w:abstractNum w:abstractNumId="330">
    <w:nsid w:val="612DBDDD"/>
    <w:multiLevelType w:val="hybridMultilevel"/>
    <w:lvl w:ilvl="0">
      <w:lvlJc w:val="left"/>
      <w:lvlText w:val="•"/>
      <w:numFmt w:val="bullet"/>
      <w:start w:val="1"/>
    </w:lvl>
  </w:abstractNum>
  <w:abstractNum w:abstractNumId="331">
    <w:nsid w:val="2109CDA4"/>
    <w:multiLevelType w:val="hybridMultilevel"/>
    <w:lvl w:ilvl="0">
      <w:lvlJc w:val="left"/>
      <w:lvlText w:val="•"/>
      <w:numFmt w:val="bullet"/>
      <w:start w:val="1"/>
    </w:lvl>
  </w:abstractNum>
  <w:abstractNum w:abstractNumId="332">
    <w:nsid w:val="577F5A4D"/>
    <w:multiLevelType w:val="hybridMultilevel"/>
    <w:lvl w:ilvl="0">
      <w:lvlJc w:val="left"/>
      <w:lvlText w:val="•"/>
      <w:numFmt w:val="bullet"/>
      <w:start w:val="1"/>
    </w:lvl>
  </w:abstractNum>
  <w:abstractNum w:abstractNumId="333">
    <w:nsid w:val="2121A81"/>
    <w:multiLevelType w:val="hybridMultilevel"/>
    <w:lvl w:ilvl="0">
      <w:lvlJc w:val="left"/>
      <w:lvlText w:val="1"/>
      <w:numFmt w:val="bullet"/>
      <w:start w:val="1"/>
    </w:lvl>
  </w:abstractNum>
  <w:abstractNum w:abstractNumId="334">
    <w:nsid w:val="6C2CFC88"/>
    <w:multiLevelType w:val="hybridMultilevel"/>
    <w:lvl w:ilvl="0">
      <w:lvlJc w:val="left"/>
      <w:lvlText w:val="•"/>
      <w:numFmt w:val="bullet"/>
      <w:start w:val="1"/>
    </w:lvl>
  </w:abstractNum>
  <w:abstractNum w:abstractNumId="335">
    <w:nsid w:val="6D1BCF1C"/>
    <w:multiLevelType w:val="hybridMultilevel"/>
    <w:lvl w:ilvl="0">
      <w:lvlJc w:val="left"/>
      <w:lvlText w:val="•"/>
      <w:numFmt w:val="bullet"/>
      <w:start w:val="1"/>
    </w:lvl>
  </w:abstractNum>
  <w:abstractNum w:abstractNumId="336">
    <w:nsid w:val="4CE5CA53"/>
    <w:multiLevelType w:val="hybridMultilevel"/>
    <w:lvl w:ilvl="0">
      <w:lvlJc w:val="left"/>
      <w:lvlText w:val="•"/>
      <w:numFmt w:val="bullet"/>
      <w:start w:val="1"/>
    </w:lvl>
  </w:abstractNum>
  <w:abstractNum w:abstractNumId="337">
    <w:nsid w:val="29262D1A"/>
    <w:multiLevelType w:val="hybridMultilevel"/>
    <w:lvl w:ilvl="0">
      <w:lvlJc w:val="left"/>
      <w:lvlText w:val="•"/>
      <w:numFmt w:val="bullet"/>
      <w:start w:val="1"/>
    </w:lvl>
  </w:abstractNum>
  <w:abstractNum w:abstractNumId="338">
    <w:nsid w:val="557FB7EE"/>
    <w:multiLevelType w:val="hybridMultilevel"/>
    <w:lvl w:ilvl="0">
      <w:lvlJc w:val="left"/>
      <w:lvlText w:val="•"/>
      <w:numFmt w:val="bullet"/>
      <w:start w:val="1"/>
    </w:lvl>
  </w:abstractNum>
  <w:abstractNum w:abstractNumId="339">
    <w:nsid w:val="436F2BEB"/>
    <w:multiLevelType w:val="hybridMultilevel"/>
    <w:lvl w:ilvl="0">
      <w:lvlJc w:val="left"/>
      <w:lvlText w:val="•"/>
      <w:numFmt w:val="bullet"/>
      <w:start w:val="1"/>
    </w:lvl>
  </w:abstractNum>
  <w:abstractNum w:abstractNumId="340">
    <w:nsid w:val="6C8B4466"/>
    <w:multiLevelType w:val="hybridMultilevel"/>
    <w:lvl w:ilvl="0">
      <w:lvlJc w:val="left"/>
      <w:lvlText w:val="•"/>
      <w:numFmt w:val="bullet"/>
      <w:start w:val="1"/>
    </w:lvl>
  </w:abstractNum>
  <w:abstractNum w:abstractNumId="341">
    <w:nsid w:val="2006E424"/>
    <w:multiLevelType w:val="hybridMultilevel"/>
    <w:lvl w:ilvl="0">
      <w:lvlJc w:val="left"/>
      <w:lvlText w:val="•"/>
      <w:numFmt w:val="bullet"/>
      <w:start w:val="1"/>
    </w:lvl>
  </w:abstractNum>
  <w:abstractNum w:abstractNumId="342">
    <w:nsid w:val="20CC134C"/>
    <w:multiLevelType w:val="hybridMultilevel"/>
    <w:lvl w:ilvl="0">
      <w:lvlJc w:val="left"/>
      <w:lvlText w:val="•"/>
      <w:numFmt w:val="bullet"/>
      <w:start w:val="1"/>
    </w:lvl>
  </w:abstractNum>
  <w:abstractNum w:abstractNumId="343">
    <w:nsid w:val="95FC93B"/>
    <w:multiLevelType w:val="hybridMultilevel"/>
    <w:lvl w:ilvl="0">
      <w:lvlJc w:val="left"/>
      <w:lvlText w:val="%1."/>
      <w:numFmt w:val="upperLetter"/>
      <w:start w:val="9"/>
    </w:lvl>
  </w:abstractNum>
  <w:abstractNum w:abstractNumId="344">
    <w:nsid w:val="41D74679"/>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345">
    <w:nsid w:val="71E5621E"/>
    <w:multiLevelType w:val="hybridMultilevel"/>
    <w:lvl w:ilvl="0">
      <w:lvlJc w:val="left"/>
      <w:lvlText w:val="%1."/>
      <w:numFmt w:val="decimal"/>
      <w:start w:val="3"/>
    </w:lvl>
    <w:lvl w:ilvl="1">
      <w:lvlJc w:val="left"/>
      <w:lvlText w:val="(%2)"/>
      <w:numFmt w:val="lowerLetter"/>
      <w:start w:val="1"/>
    </w:lvl>
  </w:abstractNum>
  <w:abstractNum w:abstractNumId="346">
    <w:nsid w:val="4E42B6A8"/>
    <w:multiLevelType w:val="hybridMultilevel"/>
    <w:lvl w:ilvl="0">
      <w:lvlJc w:val="left"/>
      <w:lvlText w:val="%1."/>
      <w:numFmt w:val="upperLetter"/>
      <w:start w:val="61"/>
    </w:lvl>
  </w:abstractNum>
  <w:abstractNum w:abstractNumId="347">
    <w:nsid w:val="43F8E1AC"/>
    <w:multiLevelType w:val="hybridMultilevel"/>
    <w:lvl w:ilvl="0">
      <w:lvlJc w:val="left"/>
      <w:lvlText w:val="%1."/>
      <w:numFmt w:val="upperLetter"/>
      <w:start w:val="22"/>
    </w:lvl>
  </w:abstractNum>
  <w:abstractNum w:abstractNumId="348">
    <w:nsid w:val="69215DFB"/>
    <w:multiLevelType w:val="hybridMultilevel"/>
    <w:lvl w:ilvl="0">
      <w:lvlJc w:val="left"/>
      <w:lvlText w:val="%1."/>
      <w:numFmt w:val="decimal"/>
      <w:start w:val="1"/>
    </w:lvl>
  </w:abstractNum>
  <w:abstractNum w:abstractNumId="349">
    <w:nsid w:val="7ABF196A"/>
    <w:multiLevelType w:val="hybridMultilevel"/>
    <w:lvl w:ilvl="0">
      <w:lvlJc w:val="left"/>
      <w:lvlText w:val="%1."/>
      <w:numFmt w:val="decimal"/>
      <w:start w:val="2"/>
    </w:lvl>
  </w:abstractNum>
  <w:abstractNum w:abstractNumId="350">
    <w:nsid w:val="5E4DB968"/>
    <w:multiLevelType w:val="hybridMultilevel"/>
    <w:lvl w:ilvl="0">
      <w:lvlJc w:val="left"/>
      <w:lvlText w:val="%1."/>
      <w:numFmt w:val="decimal"/>
      <w:start w:val="3"/>
    </w:lvl>
  </w:abstractNum>
  <w:abstractNum w:abstractNumId="351">
    <w:nsid w:val="2C06DCF3"/>
    <w:multiLevelType w:val="hybridMultilevel"/>
    <w:lvl w:ilvl="0">
      <w:lvlJc w:val="left"/>
      <w:lvlText w:val="(%1)"/>
      <w:numFmt w:val="lowerLetter"/>
      <w:start w:val="1"/>
    </w:lvl>
  </w:abstractNum>
  <w:abstractNum w:abstractNumId="352">
    <w:nsid w:val="2E129658"/>
    <w:multiLevelType w:val="hybridMultilevel"/>
    <w:lvl w:ilvl="0">
      <w:lvlJc w:val="left"/>
      <w:lvlText w:val="(%1)"/>
      <w:numFmt w:val="lowerLetter"/>
      <w:start w:val="2"/>
    </w:lvl>
    <w:lvl w:ilvl="1">
      <w:lvlJc w:val="left"/>
      <w:lvlText w:val="(%2)"/>
      <w:numFmt w:val="lowerLetter"/>
      <w:start w:val="9"/>
    </w:lvl>
  </w:abstractNum>
  <w:abstractNum w:abstractNumId="353">
    <w:nsid w:val="59F04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54">
    <w:nsid w:val="30DF30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55">
    <w:nsid w:val="A65647"/>
    <w:multiLevelType w:val="hybridMultilevel"/>
    <w:lvl w:ilvl="0">
      <w:lvlJc w:val="left"/>
      <w:lvlText w:val="(%1)"/>
      <w:numFmt w:val="lowerLetter"/>
      <w:start w:val="4"/>
    </w:lvl>
  </w:abstractNum>
  <w:abstractNum w:abstractNumId="356">
    <w:nsid w:val="3E5E582B"/>
    <w:multiLevelType w:val="hybridMultilevel"/>
    <w:lvl w:ilvl="0">
      <w:lvlJc w:val="left"/>
      <w:lvlText w:val="%1."/>
      <w:numFmt w:val="upperLetter"/>
      <w:start w:val="9"/>
    </w:lvl>
  </w:abstractNum>
  <w:abstractNum w:abstractNumId="357">
    <w:nsid w:val="257D4626"/>
    <w:multiLevelType w:val="hybridMultilevel"/>
    <w:lvl w:ilvl="0">
      <w:lvlJc w:val="left"/>
      <w:lvlText w:val="%1."/>
      <w:numFmt w:val="upperLetter"/>
      <w:start w:val="35"/>
    </w:lvl>
    <w:lvl w:ilvl="1">
      <w:lvlJc w:val="left"/>
      <w:lvlText w:val="%2."/>
      <w:numFmt w:val="upperLetter"/>
      <w:start w:val="1"/>
    </w:lvl>
  </w:abstractNum>
  <w:abstractNum w:abstractNumId="358">
    <w:nsid w:val="5AA8580E"/>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359">
    <w:nsid w:val="68FA8D0D"/>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360">
    <w:nsid w:val="40F2CBD2"/>
    <w:multiLevelType w:val="hybridMultilevel"/>
    <w:lvl w:ilvl="0">
      <w:lvlJc w:val="left"/>
      <w:lvlText w:val="●"/>
      <w:numFmt w:val="bullet"/>
      <w:start w:val="1"/>
    </w:lvl>
  </w:abstractNum>
  <w:abstractNum w:abstractNumId="361">
    <w:nsid w:val="3BD615EB"/>
    <w:multiLevelType w:val="hybridMultilevel"/>
    <w:lvl w:ilvl="0">
      <w:lvlJc w:val="left"/>
      <w:lvlText w:val="%1."/>
      <w:numFmt w:val="upperLetter"/>
      <w:start w:val="1"/>
    </w:lvl>
  </w:abstractNum>
  <w:abstractNum w:abstractNumId="362">
    <w:nsid w:val="A045AB2"/>
    <w:multiLevelType w:val="hybridMultilevel"/>
    <w:lvl w:ilvl="0">
      <w:lvlJc w:val="left"/>
      <w:lvlText w:val="%1."/>
      <w:numFmt w:val="upperLetter"/>
      <w:start w:val="2"/>
    </w:lvl>
  </w:abstractNum>
  <w:abstractNum w:abstractNumId="363">
    <w:nsid w:val="1872261F"/>
    <w:multiLevelType w:val="hybridMultilevel"/>
    <w:lvl w:ilvl="0">
      <w:lvlJc w:val="left"/>
      <w:lvlText w:val="%1."/>
      <w:numFmt w:val="upperLetter"/>
      <w:start w:val="3"/>
    </w:lvl>
  </w:abstractNum>
  <w:abstractNum w:abstractNumId="364">
    <w:nsid w:val="3DE8306C"/>
    <w:multiLevelType w:val="hybridMultilevel"/>
    <w:lvl w:ilvl="0">
      <w:lvlJc w:val="left"/>
      <w:lvlText w:val="%1."/>
      <w:numFmt w:val="upperLetter"/>
      <w:start w:val="4"/>
    </w:lvl>
  </w:abstractNum>
  <w:abstractNum w:abstractNumId="365">
    <w:nsid w:val="7631573A"/>
    <w:multiLevelType w:val="hybridMultilevel"/>
    <w:lvl w:ilvl="0">
      <w:lvlJc w:val="left"/>
      <w:lvlText w:val="%1."/>
      <w:numFmt w:val="upperLetter"/>
      <w:start w:val="5"/>
    </w:lvl>
  </w:abstractNum>
  <w:abstractNum w:abstractNumId="366">
    <w:nsid w:val="58DF53B"/>
    <w:multiLevelType w:val="hybridMultilevel"/>
    <w:lvl w:ilvl="0">
      <w:lvlJc w:val="left"/>
      <w:lvlText w:val="●"/>
      <w:numFmt w:val="bullet"/>
      <w:start w:val="1"/>
    </w:lvl>
  </w:abstractNum>
  <w:abstractNum w:abstractNumId="367">
    <w:nsid w:val="ACDFAC0"/>
    <w:multiLevelType w:val="hybridMultilevel"/>
    <w:lvl w:ilvl="0">
      <w:lvlJc w:val="left"/>
      <w:lvlText w:val="●"/>
      <w:numFmt w:val="bullet"/>
      <w:start w:val="1"/>
    </w:lvl>
  </w:abstractNum>
  <w:abstractNum w:abstractNumId="368">
    <w:nsid w:val="1F578454"/>
    <w:multiLevelType w:val="hybridMultilevel"/>
    <w:lvl w:ilvl="0">
      <w:lvlJc w:val="left"/>
      <w:lvlText w:val="%1."/>
      <w:numFmt w:val="upperLetter"/>
      <w:start w:val="6"/>
    </w:lvl>
  </w:abstractNum>
  <w:abstractNum w:abstractNumId="369">
    <w:nsid w:val="5B0DAD2A"/>
    <w:multiLevelType w:val="hybridMultilevel"/>
    <w:lvl w:ilvl="0">
      <w:lvlJc w:val="left"/>
      <w:lvlText w:val="(%1)"/>
      <w:numFmt w:val="decimal"/>
      <w:start w:val="3"/>
    </w:lvl>
  </w:abstractNum>
  <w:abstractNum w:abstractNumId="370">
    <w:nsid w:val="4E3D26AB"/>
    <w:multiLevelType w:val="hybridMultilevel"/>
    <w:lvl w:ilvl="0">
      <w:lvlJc w:val="left"/>
      <w:lvlText w:val="%1."/>
      <w:numFmt w:val="upperLetter"/>
      <w:start w:val="7"/>
    </w:lvl>
  </w:abstractNum>
  <w:abstractNum w:abstractNumId="371">
    <w:nsid w:val="BE2C8BA"/>
    <w:multiLevelType w:val="hybridMultilevel"/>
    <w:lvl w:ilvl="0">
      <w:lvlJc w:val="left"/>
      <w:lvlText w:val="%1."/>
      <w:numFmt w:val="decimal"/>
      <w:start w:val="2"/>
    </w:lvl>
  </w:abstractNum>
  <w:abstractNum w:abstractNumId="372">
    <w:nsid w:val="7B14914E"/>
    <w:multiLevelType w:val="hybridMultilevel"/>
    <w:lvl w:ilvl="0">
      <w:lvlJc w:val="left"/>
      <w:lvlText w:val="%1."/>
      <w:numFmt w:val="decimal"/>
      <w:start w:val="3"/>
    </w:lvl>
  </w:abstractNum>
  <w:abstractNum w:abstractNumId="373">
    <w:nsid w:val="6F0939F8"/>
    <w:multiLevelType w:val="hybridMultilevel"/>
    <w:lvl w:ilvl="0">
      <w:lvlJc w:val="left"/>
      <w:lvlText w:val="%1."/>
      <w:numFmt w:val="upperLetter"/>
      <w:start w:val="8"/>
    </w:lvl>
  </w:abstractNum>
  <w:abstractNum w:abstractNumId="374">
    <w:nsid w:val="154291F6"/>
    <w:multiLevelType w:val="hybridMultilevel"/>
    <w:lvl w:ilvl="0">
      <w:lvlJc w:val="left"/>
      <w:lvlText w:val="%1."/>
      <w:numFmt w:val="upperLetter"/>
      <w:start w:val="1"/>
    </w:lvl>
  </w:abstractNum>
  <w:abstractNum w:abstractNumId="375">
    <w:nsid w:val="3CEBD7C7"/>
    <w:multiLevelType w:val="hybridMultilevel"/>
    <w:lvl w:ilvl="0">
      <w:lvlJc w:val="left"/>
      <w:lvlText w:val="%1."/>
      <w:numFmt w:val="upperLetter"/>
      <w:start w:val="2"/>
    </w:lvl>
  </w:abstractNum>
  <w:abstractNum w:abstractNumId="376">
    <w:nsid w:val="60EE9C16"/>
    <w:multiLevelType w:val="hybridMultilevel"/>
    <w:lvl w:ilvl="0">
      <w:lvlJc w:val="left"/>
      <w:lvlText w:val="%1."/>
      <w:numFmt w:val="decimal"/>
      <w:start w:val="2"/>
    </w:lvl>
  </w:abstractNum>
  <w:abstractNum w:abstractNumId="377">
    <w:nsid w:val="6385489E"/>
    <w:multiLevelType w:val="hybridMultilevel"/>
    <w:lvl w:ilvl="0">
      <w:lvlJc w:val="left"/>
      <w:lvlText w:val="%1."/>
      <w:numFmt w:val="upperLetter"/>
      <w:start w:val="3"/>
    </w:lvl>
  </w:abstractNum>
  <w:abstractNum w:abstractNumId="378">
    <w:nsid w:val="E4B973"/>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79">
    <w:nsid w:val="4A0FFA11"/>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380">
    <w:nsid w:val="5E446208"/>
    <w:multiLevelType w:val="hybridMultilevel"/>
    <w:lvl w:ilvl="0">
      <w:lvlJc w:val="left"/>
      <w:lvlText w:val="●"/>
      <w:numFmt w:val="bullet"/>
      <w:start w:val="1"/>
    </w:lvl>
  </w:abstractNum>
  <w:abstractNum w:abstractNumId="381">
    <w:nsid w:val="5F3272DB"/>
    <w:multiLevelType w:val="hybridMultilevel"/>
    <w:lvl w:ilvl="0">
      <w:lvlJc w:val="left"/>
      <w:lvlText w:val="%1."/>
      <w:numFmt w:val="upperLetter"/>
      <w:start w:val="5"/>
    </w:lvl>
  </w:abstractNum>
  <w:abstractNum w:abstractNumId="382">
    <w:nsid w:val="7616D704"/>
    <w:multiLevelType w:val="hybridMultilevel"/>
    <w:lvl w:ilvl="0">
      <w:lvlJc w:val="left"/>
      <w:lvlText w:val="%1."/>
      <w:numFmt w:val="decimal"/>
      <w:start w:val="1"/>
    </w:lvl>
  </w:abstractNum>
  <w:abstractNum w:abstractNumId="383">
    <w:nsid w:val="C56F860"/>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384">
    <w:nsid w:val="64D17722"/>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385">
    <w:nsid w:val="7924CA0A"/>
    <w:multiLevelType w:val="hybridMultilevel"/>
    <w:lvl w:ilvl="0">
      <w:lvlJc w:val="left"/>
      <w:lvlText w:val="●"/>
      <w:numFmt w:val="bullet"/>
      <w:start w:val="1"/>
    </w:lvl>
    <w:lvl w:ilvl="1">
      <w:lvlJc w:val="left"/>
      <w:lvlText w:val="°"/>
      <w:numFmt w:val="bullet"/>
      <w:start w:val="1"/>
    </w:lvl>
  </w:abstractNum>
  <w:abstractNum w:abstractNumId="386">
    <w:nsid w:val="CFD4EA7"/>
    <w:multiLevelType w:val="hybridMultilevel"/>
    <w:lvl w:ilvl="0">
      <w:lvlJc w:val="left"/>
      <w:lvlText w:val="●"/>
      <w:numFmt w:val="bullet"/>
      <w:start w:val="1"/>
    </w:lvl>
    <w:lvl w:ilvl="1">
      <w:lvlJc w:val="left"/>
      <w:lvlText w:val="°"/>
      <w:numFmt w:val="bullet"/>
      <w:start w:val="1"/>
    </w:lvl>
  </w:abstractNum>
  <w:abstractNum w:abstractNumId="387">
    <w:nsid w:val="232FCF4D"/>
    <w:multiLevelType w:val="hybridMultilevel"/>
    <w:lvl w:ilvl="0">
      <w:lvlJc w:val="left"/>
      <w:lvlText w:val="%1."/>
      <w:numFmt w:val="upperLetter"/>
      <w:start w:val="2"/>
    </w:lvl>
  </w:abstractNum>
  <w:abstractNum w:abstractNumId="388">
    <w:nsid w:val="1EA21031"/>
    <w:multiLevelType w:val="hybridMultilevel"/>
    <w:lvl w:ilvl="0">
      <w:lvlJc w:val="left"/>
      <w:lvlText w:val="%1."/>
      <w:numFmt w:val="upperLetter"/>
      <w:start w:val="3"/>
    </w:lvl>
  </w:abstractNum>
  <w:abstractNum w:abstractNumId="389">
    <w:nsid w:val="67A5A6B5"/>
    <w:multiLevelType w:val="hybridMultilevel"/>
    <w:lvl w:ilvl="0">
      <w:lvlJc w:val="left"/>
      <w:lvlText w:val="%1."/>
      <w:numFmt w:val="upperLetter"/>
      <w:start w:val="4"/>
    </w:lvl>
  </w:abstractNum>
  <w:abstractNum w:abstractNumId="390">
    <w:nsid w:val="C2A5C5B"/>
    <w:multiLevelType w:val="hybridMultilevel"/>
    <w:lvl w:ilvl="0">
      <w:lvlJc w:val="left"/>
      <w:lvlText w:val="%1."/>
      <w:numFmt w:val="upperLetter"/>
      <w:start w:val="5"/>
    </w:lvl>
  </w:abstractNum>
  <w:abstractNum w:abstractNumId="391">
    <w:nsid w:val="5F94DC03"/>
    <w:multiLevelType w:val="hybridMultilevel"/>
    <w:lvl w:ilvl="0">
      <w:lvlJc w:val="left"/>
      <w:lvlText w:val="%1."/>
      <w:numFmt w:val="upperLetter"/>
      <w:start w:val="6"/>
    </w:lvl>
  </w:abstractNum>
  <w:abstractNum w:abstractNumId="392">
    <w:nsid w:val="237BBCA0"/>
    <w:multiLevelType w:val="hybridMultilevel"/>
    <w:lvl w:ilvl="0">
      <w:lvlJc w:val="left"/>
      <w:lvlText w:val="%1."/>
      <w:numFmt w:val="upperLetter"/>
      <w:start w:val="7"/>
    </w:lvl>
  </w:abstractNum>
  <w:abstractNum w:abstractNumId="393">
    <w:nsid w:val="162EB70D"/>
    <w:multiLevelType w:val="hybridMultilevel"/>
    <w:lvl w:ilvl="0">
      <w:lvlJc w:val="left"/>
      <w:lvlText w:val="%1."/>
      <w:numFmt w:val="upperLetter"/>
      <w:start w:val="8"/>
    </w:lvl>
  </w:abstractNum>
  <w:abstractNum w:abstractNumId="394">
    <w:nsid w:val="78070222"/>
    <w:multiLevelType w:val="hybridMultilevel"/>
    <w:lvl w:ilvl="0">
      <w:lvlJc w:val="left"/>
      <w:lvlText w:val="%1."/>
      <w:numFmt w:val="upperLetter"/>
      <w:start w:val="9"/>
    </w:lvl>
  </w:abstractNum>
  <w:abstractNum w:abstractNumId="395">
    <w:nsid w:val="6163ED0D"/>
    <w:multiLevelType w:val="hybridMultilevel"/>
    <w:lvl w:ilvl="0">
      <w:lvlJc w:val="left"/>
      <w:lvlText w:val="%1."/>
      <w:numFmt w:val="upperLetter"/>
      <w:start w:val="10"/>
    </w:lvl>
  </w:abstractNum>
  <w:abstractNum w:abstractNumId="396">
    <w:nsid w:val="C600E47"/>
    <w:multiLevelType w:val="hybridMultilevel"/>
    <w:lvl w:ilvl="0">
      <w:lvlJc w:val="left"/>
      <w:lvlText w:val="%1."/>
      <w:numFmt w:val="decimal"/>
      <w:start w:val="1"/>
    </w:lvl>
  </w:abstractNum>
  <w:abstractNum w:abstractNumId="397">
    <w:nsid w:val="7D94F75D"/>
    <w:multiLevelType w:val="hybridMultilevel"/>
    <w:lvl w:ilvl="0">
      <w:lvlJc w:val="left"/>
      <w:lvlText w:val="%1."/>
      <w:numFmt w:val="decimal"/>
      <w:start w:val="1"/>
    </w:lvl>
  </w:abstractNum>
  <w:abstractNum w:abstractNumId="398">
    <w:nsid w:val="6C31E7CD"/>
    <w:multiLevelType w:val="hybridMultilevel"/>
    <w:lvl w:ilvl="0">
      <w:lvlJc w:val="left"/>
      <w:lvlText w:val="☐"/>
      <w:numFmt w:val="bullet"/>
      <w:start w:val="1"/>
    </w:lvl>
  </w:abstractNum>
  <w:abstractNum w:abstractNumId="399">
    <w:nsid w:val="2BB7929B"/>
    <w:multiLevelType w:val="hybridMultilevel"/>
    <w:lvl w:ilvl="0">
      <w:lvlJc w:val="left"/>
      <w:lvlText w:val="*"/>
      <w:numFmt w:val="bullet"/>
      <w:start w:val="1"/>
    </w:lvl>
  </w:abstractNum>
  <w:abstractNum w:abstractNumId="400">
    <w:nsid w:val="58A2A487"/>
    <w:multiLevelType w:val="hybridMultilevel"/>
    <w:lvl w:ilvl="0">
      <w:lvlJc w:val="left"/>
      <w:lvlText w:val="**"/>
      <w:numFmt w:val="bullet"/>
      <w:start w:val="1"/>
    </w:lvl>
  </w:abstractNum>
  <w:abstractNum w:abstractNumId="401">
    <w:nsid w:val="3A6F0E78"/>
    <w:multiLevelType w:val="hybridMultilevel"/>
    <w:lvl w:ilvl="0">
      <w:lvlJc w:val="left"/>
      <w:lvlText w:val="(%1)"/>
      <w:numFmt w:val="decimal"/>
      <w:start w:val="1"/>
    </w:lvl>
    <w:lvl w:ilvl="1">
      <w:lvlJc w:val="left"/>
      <w:lvlText w:val="(%2)"/>
      <w:numFmt w:val="lowerLetter"/>
      <w:start w:val="1"/>
    </w:lvl>
  </w:abstractNum>
  <w:abstractNum w:abstractNumId="402">
    <w:nsid w:val="379A5B56"/>
    <w:multiLevelType w:val="hybridMultilevel"/>
    <w:lvl w:ilvl="0">
      <w:lvlJc w:val="left"/>
      <w:lvlText w:val="(%1)"/>
      <w:numFmt w:val="decimal"/>
      <w:start w:val="1"/>
    </w:lvl>
    <w:lvl w:ilvl="1">
      <w:lvlJc w:val="left"/>
      <w:lvlText w:val="(%2)"/>
      <w:numFmt w:val="lowerLetter"/>
      <w:start w:val="1"/>
    </w:lvl>
  </w:abstractNum>
  <w:abstractNum w:abstractNumId="403">
    <w:nsid w:val="53B735D5"/>
    <w:multiLevelType w:val="hybridMultilevel"/>
    <w:lvl w:ilvl="0">
      <w:lvlJc w:val="left"/>
      <w:lvlText w:val="(%1)"/>
      <w:numFmt w:val="decimal"/>
      <w:start w:val="1"/>
    </w:lvl>
  </w:abstractNum>
  <w:abstractNum w:abstractNumId="404">
    <w:nsid w:val="29784870"/>
    <w:multiLevelType w:val="hybridMultilevel"/>
    <w:lvl w:ilvl="0">
      <w:lvlJc w:val="left"/>
      <w:lvlText w:val="(%1)"/>
      <w:numFmt w:val="decimal"/>
      <w:start w:val="1"/>
    </w:lvl>
  </w:abstractNum>
  <w:abstractNum w:abstractNumId="405">
    <w:nsid w:val="4CDCED4C"/>
    <w:multiLevelType w:val="hybridMultilevel"/>
    <w:lvl w:ilvl="0">
      <w:lvlJc w:val="left"/>
      <w:lvlText w:val="%1."/>
      <w:numFmt w:val="decimal"/>
      <w:start w:val="1"/>
    </w:lvl>
    <w:lvl w:ilvl="1">
      <w:lvlJc w:val="left"/>
      <w:lvlText w:val="(%2)"/>
      <w:numFmt w:val="lowerLetter"/>
      <w:start w:val="1"/>
    </w:lvl>
  </w:abstractNum>
  <w:abstractNum w:abstractNumId="406">
    <w:nsid w:val="10A30D9C"/>
    <w:multiLevelType w:val="hybridMultilevel"/>
    <w:lvl w:ilvl="0">
      <w:lvlJc w:val="left"/>
      <w:lvlText w:val="%1"/>
      <w:numFmt w:val="lowerLetter"/>
      <w:start w:val="1"/>
    </w:lvl>
    <w:lvl w:ilvl="1">
      <w:lvlJc w:val="left"/>
      <w:lvlText w:val="(%2)"/>
      <w:numFmt w:val="lowerLetter"/>
      <w:start w:val="2"/>
    </w:lvl>
  </w:abstractNum>
  <w:abstractNum w:abstractNumId="407">
    <w:nsid w:val="A66E486"/>
    <w:multiLevelType w:val="hybridMultilevel"/>
    <w:lvl w:ilvl="0">
      <w:lvlJc w:val="left"/>
      <w:lvlText w:val="(%1)"/>
      <w:numFmt w:val="lowerLetter"/>
      <w:start w:val="35"/>
    </w:lvl>
    <w:lvl w:ilvl="1">
      <w:lvlJc w:val="left"/>
      <w:lvlText w:val="(%2)"/>
      <w:numFmt w:val="lowerLetter"/>
      <w:start w:val="4"/>
    </w:lvl>
  </w:abstractNum>
  <w:abstractNum w:abstractNumId="408">
    <w:nsid w:val="306235EA"/>
    <w:multiLevelType w:val="hybridMultilevel"/>
    <w:lvl w:ilvl="0">
      <w:lvlJc w:val="left"/>
      <w:lvlText w:val="%1"/>
      <w:numFmt w:val="decimal"/>
      <w:start w:val="1"/>
    </w:lvl>
    <w:lvl w:ilvl="1">
      <w:lvlJc w:val="left"/>
      <w:lvlText w:val="(%2)"/>
      <w:numFmt w:val="lowerLetter"/>
      <w:start w:val="9"/>
    </w:lvl>
  </w:abstractNum>
  <w:abstractNum w:abstractNumId="409">
    <w:nsid w:val="1187C70F"/>
    <w:multiLevelType w:val="hybridMultilevel"/>
    <w:lvl w:ilvl="0">
      <w:lvlJc w:val="left"/>
      <w:lvlText w:val="%1."/>
      <w:numFmt w:val="decimal"/>
      <w:start w:val="4"/>
    </w:lvl>
    <w:lvl w:ilvl="1">
      <w:lvlJc w:val="left"/>
      <w:lvlText w:val="(%2)"/>
      <w:numFmt w:val="lowerLetter"/>
      <w:start w:val="1"/>
    </w:lvl>
  </w:abstractNum>
  <w:abstractNum w:abstractNumId="410">
    <w:nsid w:val="5476DE98"/>
    <w:multiLevelType w:val="hybridMultilevel"/>
    <w:lvl w:ilvl="0">
      <w:lvlJc w:val="left"/>
      <w:lvlText w:val="(%1)"/>
      <w:numFmt w:val="lowerRoman"/>
      <w:start w:val="1"/>
    </w:lvl>
  </w:abstractNum>
  <w:abstractNum w:abstractNumId="411">
    <w:nsid w:val="EA697F2"/>
    <w:multiLevelType w:val="hybridMultilevel"/>
    <w:lvl w:ilvl="0">
      <w:lvlJc w:val="left"/>
      <w:lvlText w:val="%1"/>
      <w:numFmt w:val="lowerLetter"/>
      <w:start w:val="1"/>
    </w:lvl>
    <w:lvl w:ilvl="1">
      <w:lvlJc w:val="left"/>
      <w:lvlText w:val="(%2)"/>
      <w:numFmt w:val="lowerLetter"/>
      <w:start w:val="2"/>
    </w:lvl>
  </w:abstractNum>
  <w:abstractNum w:abstractNumId="412">
    <w:nsid w:val="70BA39EB"/>
    <w:multiLevelType w:val="hybridMultilevel"/>
    <w:lvl w:ilvl="0">
      <w:lvlJc w:val="left"/>
      <w:lvlText w:val="(%1)"/>
      <w:numFmt w:val="lowerLetter"/>
      <w:start w:val="22"/>
    </w:lvl>
    <w:lvl w:ilvl="1">
      <w:lvlJc w:val="left"/>
      <w:lvlText w:val="%2"/>
      <w:numFmt w:val="lowerLetter"/>
      <w:start w:val="1"/>
    </w:lvl>
  </w:abstractNum>
  <w:abstractNum w:abstractNumId="413">
    <w:nsid w:val="4A8DB59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4">
    <w:nsid w:val="1AFD905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5">
    <w:nsid w:val="558BB10D"/>
    <w:multiLevelType w:val="hybridMultilevel"/>
    <w:lvl w:ilvl="0">
      <w:lvlJc w:val="left"/>
      <w:lvlText w:val="%1."/>
      <w:numFmt w:val="decimal"/>
      <w:start w:val="7"/>
    </w:lvl>
  </w:abstractNum>
  <w:abstractNum w:abstractNumId="416">
    <w:nsid w:val="43B27FA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31"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299" Type="http://schemas.openxmlformats.org/officeDocument/2006/relationships/image" Target="media/image257.png"/><Relationship Id="rId300" Type="http://schemas.openxmlformats.org/officeDocument/2006/relationships/image" Target="media/image258.png"/><Relationship Id="rId301" Type="http://schemas.openxmlformats.org/officeDocument/2006/relationships/image" Target="media/image259.png"/><Relationship Id="rId302" Type="http://schemas.openxmlformats.org/officeDocument/2006/relationships/image" Target="media/image260.png"/><Relationship Id="rId303" Type="http://schemas.openxmlformats.org/officeDocument/2006/relationships/image" Target="media/image261.png"/><Relationship Id="rId304" Type="http://schemas.openxmlformats.org/officeDocument/2006/relationships/image" Target="media/image262.png"/><Relationship Id="rId305" Type="http://schemas.openxmlformats.org/officeDocument/2006/relationships/image" Target="media/image263.png"/><Relationship Id="rId306" Type="http://schemas.openxmlformats.org/officeDocument/2006/relationships/image" Target="media/image264.png"/><Relationship Id="rId307" Type="http://schemas.openxmlformats.org/officeDocument/2006/relationships/image" Target="media/image265.png"/><Relationship Id="rId308" Type="http://schemas.openxmlformats.org/officeDocument/2006/relationships/image" Target="media/image266.png"/><Relationship Id="rId309" Type="http://schemas.openxmlformats.org/officeDocument/2006/relationships/image" Target="media/image267.png"/><Relationship Id="rId310" Type="http://schemas.openxmlformats.org/officeDocument/2006/relationships/image" Target="media/image268.png"/><Relationship Id="rId311" Type="http://schemas.openxmlformats.org/officeDocument/2006/relationships/image" Target="media/image269.png"/><Relationship Id="rId312" Type="http://schemas.openxmlformats.org/officeDocument/2006/relationships/image" Target="media/image270.png"/><Relationship Id="rId313" Type="http://schemas.openxmlformats.org/officeDocument/2006/relationships/image" Target="media/image271.png"/><Relationship Id="rId314" Type="http://schemas.openxmlformats.org/officeDocument/2006/relationships/image" Target="media/image272.png"/><Relationship Id="rId315" Type="http://schemas.openxmlformats.org/officeDocument/2006/relationships/image" Target="media/image273.png"/><Relationship Id="rId316" Type="http://schemas.openxmlformats.org/officeDocument/2006/relationships/image" Target="media/image274.png"/><Relationship Id="rId317" Type="http://schemas.openxmlformats.org/officeDocument/2006/relationships/image" Target="media/image275.png"/><Relationship Id="rId318" Type="http://schemas.openxmlformats.org/officeDocument/2006/relationships/image" Target="media/image276.png"/><Relationship Id="rId319" Type="http://schemas.openxmlformats.org/officeDocument/2006/relationships/image" Target="media/image277.png"/><Relationship Id="rId320"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4" Type="http://schemas.openxmlformats.org/officeDocument/2006/relationships/image" Target="media/image282.png"/><Relationship Id="rId325" Type="http://schemas.openxmlformats.org/officeDocument/2006/relationships/image" Target="media/image283.png"/><Relationship Id="rId326" Type="http://schemas.openxmlformats.org/officeDocument/2006/relationships/image" Target="media/image284.png"/><Relationship Id="rId327" Type="http://schemas.openxmlformats.org/officeDocument/2006/relationships/image" Target="media/image285.png"/><Relationship Id="rId328"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pn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png"/><Relationship Id="rId345" Type="http://schemas.openxmlformats.org/officeDocument/2006/relationships/image" Target="media/image303.png"/><Relationship Id="rId346"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49" Type="http://schemas.openxmlformats.org/officeDocument/2006/relationships/image" Target="media/image307.png"/><Relationship Id="rId350" Type="http://schemas.openxmlformats.org/officeDocument/2006/relationships/image" Target="media/image308.png"/><Relationship Id="rId351" Type="http://schemas.openxmlformats.org/officeDocument/2006/relationships/image" Target="media/image309.png"/><Relationship Id="rId352"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362" Type="http://schemas.openxmlformats.org/officeDocument/2006/relationships/image" Target="media/image320.png"/><Relationship Id="rId363"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pn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png"/><Relationship Id="rId387" Type="http://schemas.openxmlformats.org/officeDocument/2006/relationships/image" Target="media/image345.png"/><Relationship Id="rId388" Type="http://schemas.openxmlformats.org/officeDocument/2006/relationships/image" Target="media/image346.png"/><Relationship Id="rId389" Type="http://schemas.openxmlformats.org/officeDocument/2006/relationships/image" Target="media/image347.png"/><Relationship Id="rId390" Type="http://schemas.openxmlformats.org/officeDocument/2006/relationships/image" Target="media/image348.png"/><Relationship Id="rId391" Type="http://schemas.openxmlformats.org/officeDocument/2006/relationships/image" Target="media/image349.png"/><Relationship Id="rId392" Type="http://schemas.openxmlformats.org/officeDocument/2006/relationships/image" Target="media/image350.png"/><Relationship Id="rId393" Type="http://schemas.openxmlformats.org/officeDocument/2006/relationships/image" Target="media/image351.png"/><Relationship Id="rId394" Type="http://schemas.openxmlformats.org/officeDocument/2006/relationships/image" Target="media/image352.png"/><Relationship Id="rId395" Type="http://schemas.openxmlformats.org/officeDocument/2006/relationships/image" Target="media/image353.png"/><Relationship Id="rId396" Type="http://schemas.openxmlformats.org/officeDocument/2006/relationships/image" Target="media/image354.png"/><Relationship Id="rId397" Type="http://schemas.openxmlformats.org/officeDocument/2006/relationships/image" Target="media/image355.png"/><Relationship Id="rId398" Type="http://schemas.openxmlformats.org/officeDocument/2006/relationships/image" Target="media/image356.pn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404" Type="http://schemas.openxmlformats.org/officeDocument/2006/relationships/image" Target="media/image362.png"/><Relationship Id="rId405" Type="http://schemas.openxmlformats.org/officeDocument/2006/relationships/image" Target="media/image363.png"/><Relationship Id="rId406" Type="http://schemas.openxmlformats.org/officeDocument/2006/relationships/image" Target="media/image364.png"/><Relationship Id="rId407" Type="http://schemas.openxmlformats.org/officeDocument/2006/relationships/image" Target="media/image365.png"/><Relationship Id="rId408" Type="http://schemas.openxmlformats.org/officeDocument/2006/relationships/image" Target="media/image366.png"/><Relationship Id="rId409" Type="http://schemas.openxmlformats.org/officeDocument/2006/relationships/image" Target="media/image367.png"/><Relationship Id="rId410" Type="http://schemas.openxmlformats.org/officeDocument/2006/relationships/image" Target="media/image368.png"/><Relationship Id="rId411" Type="http://schemas.openxmlformats.org/officeDocument/2006/relationships/image" Target="media/image369.png"/><Relationship Id="rId412" Type="http://schemas.openxmlformats.org/officeDocument/2006/relationships/image" Target="media/image370.png"/><Relationship Id="rId413" Type="http://schemas.openxmlformats.org/officeDocument/2006/relationships/image" Target="media/image371.png"/><Relationship Id="rId414" Type="http://schemas.openxmlformats.org/officeDocument/2006/relationships/image" Target="media/image372.png"/><Relationship Id="rId415" Type="http://schemas.openxmlformats.org/officeDocument/2006/relationships/image" Target="media/image373.png"/><Relationship Id="rId416" Type="http://schemas.openxmlformats.org/officeDocument/2006/relationships/image" Target="media/image374.png"/><Relationship Id="rId417" Type="http://schemas.openxmlformats.org/officeDocument/2006/relationships/image" Target="media/image375.png"/><Relationship Id="rId418" Type="http://schemas.openxmlformats.org/officeDocument/2006/relationships/image" Target="media/image376.png"/><Relationship Id="rId419" Type="http://schemas.openxmlformats.org/officeDocument/2006/relationships/image" Target="media/image377.png"/><Relationship Id="rId420" Type="http://schemas.openxmlformats.org/officeDocument/2006/relationships/image" Target="media/image378.png"/><Relationship Id="rId421" Type="http://schemas.openxmlformats.org/officeDocument/2006/relationships/image" Target="media/image379.png"/><Relationship Id="rId422" Type="http://schemas.openxmlformats.org/officeDocument/2006/relationships/image" Target="media/image380.png"/><Relationship Id="rId423" Type="http://schemas.openxmlformats.org/officeDocument/2006/relationships/image" Target="media/image381.png"/><Relationship Id="rId424" Type="http://schemas.openxmlformats.org/officeDocument/2006/relationships/image" Target="media/image382.png"/><Relationship Id="rId425" Type="http://schemas.openxmlformats.org/officeDocument/2006/relationships/image" Target="media/image383.png"/><Relationship Id="rId426" Type="http://schemas.openxmlformats.org/officeDocument/2006/relationships/image" Target="media/image384.png"/><Relationship Id="rId427" Type="http://schemas.openxmlformats.org/officeDocument/2006/relationships/image" Target="media/image385.png"/><Relationship Id="rId428" Type="http://schemas.openxmlformats.org/officeDocument/2006/relationships/image" Target="media/image386.png"/><Relationship Id="rId429" Type="http://schemas.openxmlformats.org/officeDocument/2006/relationships/image" Target="media/image387.png"/><Relationship Id="rId430" Type="http://schemas.openxmlformats.org/officeDocument/2006/relationships/image" Target="media/image388.png"/><Relationship Id="rId431" Type="http://schemas.openxmlformats.org/officeDocument/2006/relationships/image" Target="media/image389.png"/><Relationship Id="rId432" Type="http://schemas.openxmlformats.org/officeDocument/2006/relationships/image" Target="media/image390.png"/><Relationship Id="rId433" Type="http://schemas.openxmlformats.org/officeDocument/2006/relationships/image" Target="media/image391.png"/><Relationship Id="rId434" Type="http://schemas.openxmlformats.org/officeDocument/2006/relationships/image" Target="media/image392.png"/><Relationship Id="rId435" Type="http://schemas.openxmlformats.org/officeDocument/2006/relationships/image" Target="media/image393.png"/><Relationship Id="rId436" Type="http://schemas.openxmlformats.org/officeDocument/2006/relationships/image" Target="media/image394.png"/><Relationship Id="rId437" Type="http://schemas.openxmlformats.org/officeDocument/2006/relationships/image" Target="media/image395.png"/><Relationship Id="rId438" Type="http://schemas.openxmlformats.org/officeDocument/2006/relationships/image" Target="media/image396.png"/><Relationship Id="rId439"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4" Type="http://schemas.openxmlformats.org/officeDocument/2006/relationships/image" Target="media/image402.png"/><Relationship Id="rId445" Type="http://schemas.openxmlformats.org/officeDocument/2006/relationships/image" Target="media/image403.png"/><Relationship Id="rId446" Type="http://schemas.openxmlformats.org/officeDocument/2006/relationships/image" Target="media/image404.png"/><Relationship Id="rId447" Type="http://schemas.openxmlformats.org/officeDocument/2006/relationships/image" Target="media/image405.png"/><Relationship Id="rId448" Type="http://schemas.openxmlformats.org/officeDocument/2006/relationships/image" Target="media/image406.png"/><Relationship Id="rId449" Type="http://schemas.openxmlformats.org/officeDocument/2006/relationships/image" Target="media/image407.png"/><Relationship Id="rId450" Type="http://schemas.openxmlformats.org/officeDocument/2006/relationships/image" Target="media/image408.png"/><Relationship Id="rId451" Type="http://schemas.openxmlformats.org/officeDocument/2006/relationships/image" Target="media/image409.png"/><Relationship Id="rId452" Type="http://schemas.openxmlformats.org/officeDocument/2006/relationships/image" Target="media/image410.png"/><Relationship Id="rId453" Type="http://schemas.openxmlformats.org/officeDocument/2006/relationships/image" Target="media/image411.png"/><Relationship Id="rId454" Type="http://schemas.openxmlformats.org/officeDocument/2006/relationships/image" Target="media/image412.png"/><Relationship Id="rId455" Type="http://schemas.openxmlformats.org/officeDocument/2006/relationships/image" Target="media/image413.png"/><Relationship Id="rId456" Type="http://schemas.openxmlformats.org/officeDocument/2006/relationships/image" Target="media/image414.png"/><Relationship Id="rId457" Type="http://schemas.openxmlformats.org/officeDocument/2006/relationships/image" Target="media/image415.png"/><Relationship Id="rId458" Type="http://schemas.openxmlformats.org/officeDocument/2006/relationships/image" Target="media/image416.png"/><Relationship Id="rId459" Type="http://schemas.openxmlformats.org/officeDocument/2006/relationships/image" Target="media/image417.png"/><Relationship Id="rId460" Type="http://schemas.openxmlformats.org/officeDocument/2006/relationships/image" Target="media/image418.png"/><Relationship Id="rId461" Type="http://schemas.openxmlformats.org/officeDocument/2006/relationships/image" Target="media/image419.png"/><Relationship Id="rId462" Type="http://schemas.openxmlformats.org/officeDocument/2006/relationships/image" Target="media/image420.png"/><Relationship Id="rId463" Type="http://schemas.openxmlformats.org/officeDocument/2006/relationships/image" Target="media/image421.png"/><Relationship Id="rId464" Type="http://schemas.openxmlformats.org/officeDocument/2006/relationships/image" Target="media/image422.png"/><Relationship Id="rId465" Type="http://schemas.openxmlformats.org/officeDocument/2006/relationships/image" Target="media/image423.png"/><Relationship Id="rId466" Type="http://schemas.openxmlformats.org/officeDocument/2006/relationships/image" Target="media/image424.png"/><Relationship Id="rId467" Type="http://schemas.openxmlformats.org/officeDocument/2006/relationships/image" Target="media/image425.png"/><Relationship Id="rId468" Type="http://schemas.openxmlformats.org/officeDocument/2006/relationships/image" Target="media/image426.png"/><Relationship Id="rId469" Type="http://schemas.openxmlformats.org/officeDocument/2006/relationships/image" Target="media/image427.png"/><Relationship Id="rId470" Type="http://schemas.openxmlformats.org/officeDocument/2006/relationships/image" Target="media/image428.png"/><Relationship Id="rId471" Type="http://schemas.openxmlformats.org/officeDocument/2006/relationships/image" Target="media/image429.png"/><Relationship Id="rId472" Type="http://schemas.openxmlformats.org/officeDocument/2006/relationships/image" Target="media/image430.png"/><Relationship Id="rId473" Type="http://schemas.openxmlformats.org/officeDocument/2006/relationships/image" Target="media/image431.png"/><Relationship Id="rId474" Type="http://schemas.openxmlformats.org/officeDocument/2006/relationships/image" Target="media/image432.png"/><Relationship Id="rId475" Type="http://schemas.openxmlformats.org/officeDocument/2006/relationships/image" Target="media/image433.png"/><Relationship Id="rId476" Type="http://schemas.openxmlformats.org/officeDocument/2006/relationships/image" Target="media/image434.png"/><Relationship Id="rId477" Type="http://schemas.openxmlformats.org/officeDocument/2006/relationships/image" Target="media/image435.png"/><Relationship Id="rId478" Type="http://schemas.openxmlformats.org/officeDocument/2006/relationships/image" Target="media/image436.jpeg"/><Relationship Id="rId479" Type="http://schemas.openxmlformats.org/officeDocument/2006/relationships/image" Target="media/image437.png"/><Relationship Id="rId106" Type="http://schemas.openxmlformats.org/officeDocument/2006/relationships/hyperlink" Target="https://www.sec.gov/Archives/edgar/data/1638287/000155837021000051/tmb-20201231xex2d1.htm" TargetMode="External"/><Relationship Id="rId107" Type="http://schemas.openxmlformats.org/officeDocument/2006/relationships/hyperlink" Target="https://www.sec.gov/Archives/edgar/data/1638287/000110465916138639/a16-16524_1ex3d1.htm" TargetMode="External"/><Relationship Id="rId108" Type="http://schemas.openxmlformats.org/officeDocument/2006/relationships/hyperlink" Target="https://www.sec.gov/Archives/edgar/data/1638287/000110465919076916/a19-28294_1ex3d1.htm" TargetMode="External"/><Relationship Id="rId110" Type="http://schemas.openxmlformats.org/officeDocument/2006/relationships/hyperlink" Target="https://www.sec.gov/Archives/edgar/data/1638287/000110465919076916/a19-28294_1ex3d2.htm" TargetMode="External"/><Relationship Id="rId111" Type="http://schemas.openxmlformats.org/officeDocument/2006/relationships/hyperlink" Target="https://www.sec.gov/Archives/edgar/data/1638287/000155837022014321/nrbo-20220912xex3d1.htm" TargetMode="External"/><Relationship Id="rId112" Type="http://schemas.openxmlformats.org/officeDocument/2006/relationships/hyperlink" Target="https://www.sec.gov/Archives/edgar/data/1638287/000155837023019894/nrbo-20231219xex3d1.htm" TargetMode="External"/><Relationship Id="rId113" Type="http://schemas.openxmlformats.org/officeDocument/2006/relationships/hyperlink" Target="https://www.sec.gov/Archives/edgar/data/1638287/000155837024015839/nrbo-20241115xex3d1.htm" TargetMode="External"/><Relationship Id="rId114" Type="http://schemas.openxmlformats.org/officeDocument/2006/relationships/hyperlink" Target="https://www.sec.gov/Archives/edgar/data/1638287/000155837024015839/nrbo-20241115xex3d2.htm" TargetMode="External"/><Relationship Id="rId115" Type="http://schemas.openxmlformats.org/officeDocument/2006/relationships/hyperlink" Target="https://www.sec.gov/Archives/edgar/data/1638287/000110465922116023/tm2225873d12_ex3-1.htm" TargetMode="External"/><Relationship Id="rId116" Type="http://schemas.openxmlformats.org/officeDocument/2006/relationships/hyperlink" Target="https://www.sec.gov/Archives/edgar/data/1638287/000110465922116023/tm2225873d12_ex3-2.htm" TargetMode="External"/><Relationship Id="rId117" Type="http://schemas.openxmlformats.org/officeDocument/2006/relationships/hyperlink" Target="https://www.sec.gov/Archives/edgar/data/1638287/000104746916013774/a2228362zex-4_1.htm" TargetMode="External"/><Relationship Id="rId118" Type="http://schemas.openxmlformats.org/officeDocument/2006/relationships/hyperlink" Target="https://www.sec.gov/Archives/edgar/data/1638287/000155837018006443/gemp-20180731ex416ef151f.htm" TargetMode="External"/><Relationship Id="rId119" Type="http://schemas.openxmlformats.org/officeDocument/2006/relationships/hyperlink" Target="https://www.sec.gov/Archives/edgar/data/1638287/000155837020003927/nrbo-20200413xex4d1.htm" TargetMode="External"/><Relationship Id="rId120" Type="http://schemas.openxmlformats.org/officeDocument/2006/relationships/hyperlink" Target="https://www.sec.gov/Archives/edgar/data/1638287/000155837021000329/tmb-20210118xex4d1.htm" TargetMode="External"/><Relationship Id="rId121" Type="http://schemas.openxmlformats.org/officeDocument/2006/relationships/hyperlink" Target="https://www.sec.gov/Archives/edgar/data/1638287/000110465921122546/tm2129080d2_ex4-1.htm" TargetMode="External"/><Relationship Id="rId122" Type="http://schemas.openxmlformats.org/officeDocument/2006/relationships/hyperlink" Target="https://www.sec.gov/Archives/edgar/data/1638287/000110465922116023/tm2225873d12_ex4-2.htm" TargetMode="External"/><Relationship Id="rId123" Type="http://schemas.openxmlformats.org/officeDocument/2006/relationships/hyperlink" Target="https://www.sec.gov/Archives/edgar/data/1638287/000110465922116023/tm2225873d12_ex4-3.htm" TargetMode="External"/><Relationship Id="rId124" Type="http://schemas.openxmlformats.org/officeDocument/2006/relationships/hyperlink" Target="https://www.sec.gov/Archives/edgar/data/1638287/000110465924074565/tm2418076d1_ex4-1.htm" TargetMode="External"/><Relationship Id="rId125" Type="http://schemas.openxmlformats.org/officeDocument/2006/relationships/hyperlink" Target="https://www.sec.gov/Archives/edgar/data/1638287/000110465924074565/tm2418076d1_ex4-2.htm" TargetMode="External"/><Relationship Id="rId126" Type="http://schemas.openxmlformats.org/officeDocument/2006/relationships/hyperlink" Target="https://www.sec.gov/Archives/edgar/data/1638287/000110465924074565/tm2418076d1_ex4-3.htm" TargetMode="External"/><Relationship Id="rId127" Type="http://schemas.openxmlformats.org/officeDocument/2006/relationships/hyperlink" Target="https://www.sec.gov/Archives/edgar/data/1638287/000110465924074565/tm2418076d1_ex4-4.htm" TargetMode="External"/><Relationship Id="rId128" Type="http://schemas.openxmlformats.org/officeDocument/2006/relationships/hyperlink" Target="https://www.sec.gov/Archives/edgar/data/1638287/000155837023018842/nrbo-20230930xex10d2.htm" TargetMode="External"/><Relationship Id="rId129" Type="http://schemas.openxmlformats.org/officeDocument/2006/relationships/hyperlink" Target="https://www.sec.gov/Archives/edgar/data/1638287/000155837023014716/nrbo-20230810xex10d1.htm" TargetMode="External"/><Relationship Id="rId130" Type="http://schemas.openxmlformats.org/officeDocument/2006/relationships/hyperlink" Target="https://www.sec.gov/Archives/edgar/data/1638287/000155837024002312/nrbo-20240304xex10d1.htm" TargetMode="External"/><Relationship Id="rId132" Type="http://schemas.openxmlformats.org/officeDocument/2006/relationships/hyperlink" Target="https://www.sec.gov/Archives/edgar/data/1638287/000155837023011556/nrbo-20230628xex10d1.htm" TargetMode="External"/><Relationship Id="rId133" Type="http://schemas.openxmlformats.org/officeDocument/2006/relationships/hyperlink" Target="https://www.sec.gov/Archives/edgar/data/1638287/000110465922100082/tm2225847d1_ex10-1.htm" TargetMode="External"/><Relationship Id="rId134" Type="http://schemas.openxmlformats.org/officeDocument/2006/relationships/hyperlink" Target="https://www.sec.gov/Archives/edgar/data/1638287/000110465922100082/tm2225847d1_ex10-2.htm" TargetMode="External"/><Relationship Id="rId135" Type="http://schemas.openxmlformats.org/officeDocument/2006/relationships/hyperlink" Target="https://www.sec.gov/Archives/edgar/data/1638287/000110465922100082/tm2225847d1_ex10-4.htm" TargetMode="External"/><Relationship Id="rId136" Type="http://schemas.openxmlformats.org/officeDocument/2006/relationships/hyperlink" Target="https://www.sec.gov/Archives/edgar/data/1638287/000110465922100082/tm2225847d1_ex10-5.htm" TargetMode="External"/><Relationship Id="rId137" Type="http://schemas.openxmlformats.org/officeDocument/2006/relationships/hyperlink" Target="https://www.sec.gov/Archives/edgar/data/1638287/000155837020010309/nrbo-20200630ex102564787.htm" TargetMode="External"/><Relationship Id="rId138" Type="http://schemas.openxmlformats.org/officeDocument/2006/relationships/hyperlink" Target="https://www.sec.gov/Archives/edgar/data/1638287/000155837018006442/gemp-20180802ex1012c91f0.htm" TargetMode="External"/><Relationship Id="rId139" Type="http://schemas.openxmlformats.org/officeDocument/2006/relationships/hyperlink" Target="https://www.sec.gov/Archives/edgar/data/1638287/000155837019006287/ex-10d6.htm" TargetMode="External"/><Relationship Id="rId140" Type="http://schemas.openxmlformats.org/officeDocument/2006/relationships/hyperlink" Target="https://www.sec.gov/Archives/edgar/data/1638287/000110465919076916/a19-28294_1ex10d1.htm" TargetMode="External"/><Relationship Id="rId141" Type="http://schemas.openxmlformats.org/officeDocument/2006/relationships/hyperlink" Target="https://www.sec.gov/Archives/edgar/data/1638287/000155837021003397/tmb-20210323xex10d1.htm" TargetMode="External"/><Relationship Id="rId142" Type="http://schemas.openxmlformats.org/officeDocument/2006/relationships/hyperlink" Target="https://www.sec.gov/Archives/edgar/data/1638287/000110465924074565/tm2418076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2025-03-20T16:38:36Z</dcterms:created>
  <dcterms:modified xsi:type="dcterms:W3CDTF">2025-03-20T16:38:36Z</dcterms:modified>
</cp:coreProperties>
</file>