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480"/>
        <w:ind w:left="0" w:right="0" w:hanging="0"/>
        <w:jc w:val="left"/>
        <w:rPr/>
      </w:pPr>
      <w:hyperlink w:anchor="Toc">
        <w:bookmarkStart w:id="0" w:name="mtva-20260331x10q.htm"/>
        <w:bookmarkStart w:id="1" w:name="ksmtva20260331x10q"/>
        <w:bookmarkEnd w:id="0"/>
        <w:bookmarkEnd w:id="1"/>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pBdr>
          <w:top w:val="single" w:sz="24" w:space="1" w:color="000000"/>
        </w:pBdr>
        <w:bidi w:val="0"/>
        <w:spacing w:lineRule="auto" w:line="285" w:before="0" w:after="0"/>
        <w:ind w:left="0" w:right="0" w:hanging="0"/>
        <w:jc w:val="center"/>
        <w:rPr/>
      </w:pPr>
      <w:r>
        <w:rPr/>
        <w:t>​</w:t>
      </w:r>
    </w:p>
    <w:p>
      <w:pPr>
        <w:pStyle w:val="TextBody"/>
        <w:pBdr>
          <w:top w:val="single" w:sz="8" w:space="1" w:color="000000"/>
        </w:pBdr>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bookmarkStart w:id="2" w:name="_545d20ba_a0c2_4d62_ba9b_bbdfe7077db7"/>
      <w:bookmarkEnd w:id="2"/>
      <w:r>
        <w:rPr>
          <w:rFonts w:ascii="Times New Roman;Times;serif" w:hAnsi="Times New Roman;Times;serif"/>
          <w:b/>
          <w:sz w:val="18"/>
        </w:rPr>
        <w:t>UNITED STATES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lineRule="auto" w:line="285"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lineRule="auto" w:line="285" w:before="0" w:after="0"/>
        <w:ind w:left="0" w:right="0" w:hanging="0"/>
        <w:jc w:val="both"/>
        <w:rPr/>
      </w:pPr>
      <w:r>
        <w:rPr/>
        <w:t>​</w:t>
      </w:r>
    </w:p>
    <w:p>
      <w:pPr>
        <w:pStyle w:val="Normal"/>
        <w:bidi w:val="0"/>
        <w:spacing w:before="0" w:after="0"/>
        <w:jc w:val="left"/>
        <w:rPr>
          <w:sz w:val="4"/>
          <w:szCs w:val="4"/>
        </w:rPr>
      </w:pPr>
      <w:r>
        <w:rPr>
          <w:sz w:val="4"/>
          <w:szCs w:val="4"/>
        </w:rPr>
      </w:r>
      <w:bookmarkStart w:id="3" w:name="Tc_VbH6KmenMk2vAVlCmWfFuw_2_1"/>
      <w:bookmarkStart w:id="4" w:name="Tc_34dMbbk5z0-EazuDb-ew2w_1_1"/>
      <w:bookmarkStart w:id="5" w:name="_f6f87ffb_eac7_41c5_8b38_c4dcb968297c"/>
      <w:bookmarkStart w:id="6" w:name="Tc_VbH6KmenMk2vAVlCmWfFuw_2_1"/>
      <w:bookmarkStart w:id="7" w:name="Tc_34dMbbk5z0-EazuDb-ew2w_1_1"/>
      <w:bookmarkStart w:id="8" w:name="_f6f87ffb_eac7_41c5_8b38_c4dcb968297c"/>
      <w:bookmarkEnd w:id="6"/>
      <w:bookmarkEnd w:id="7"/>
      <w:bookmarkEnd w:id="8"/>
    </w:p>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77535" cy="175260"/>
                      <wp:effectExtent l="0" t="0" r="0" b="0"/>
                      <wp:wrapNone/>
                      <wp:docPr id="2" name="Frame2"/>
                      <a:graphic xmlns:a="http://schemas.openxmlformats.org/drawingml/2006/main">
                        <a:graphicData uri="http://schemas.microsoft.com/office/word/2010/wordprocessingShape">
                          <wps:wsp>
                            <wps:cNvSpPr txBox="1"/>
                            <wps:spPr>
                              <a:xfrm>
                                <a:off x="0" y="0"/>
                                <a:ext cx="567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center"/>
              <w:rPr/>
            </w:pPr>
            <w:r>
              <w:rPr/>
              <w:t>☒</w:t>
            </w:r>
          </w:p>
        </w:tc>
        <w:tc>
          <w:tcPr>
            <w:tcW w:w="8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QUARTERLY REPORT PURSUANT TO SECTION 13 OR 15(d) OF THE SECURITIES EXCHANGE ACT OF 1934</w:t>
            </w:r>
          </w:p>
        </w:tc>
      </w:tr>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pPr>
                            <w:r>
                              <w:rPr/>
                              <w:t>​</w:t>
                            </w:r>
                          </w:p>
                        </w:txbxContent>
                      </v:textbox>
                      <w10:wrap type="none"/>
                    </v:rect>
                  </w:pict>
                </mc:Fallback>
              </mc:AlternateContent>
            </w:r>
          </w:p>
        </w:tc>
        <w:tc>
          <w:tcPr>
            <w:tcW w:w="894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677535" cy="131445"/>
                      <wp:effectExtent l="0" t="0" r="0" b="0"/>
                      <wp:wrapNone/>
                      <wp:docPr id="4" name="Frame4"/>
                      <a:graphic xmlns:a="http://schemas.openxmlformats.org/drawingml/2006/main">
                        <a:graphicData uri="http://schemas.microsoft.com/office/word/2010/wordprocessingShape">
                          <wps:wsp>
                            <wps:cNvSpPr txBox="1"/>
                            <wps:spPr>
                              <a:xfrm>
                                <a:off x="0" y="0"/>
                                <a:ext cx="5677535" cy="1314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quarterly period ended March 31,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quarterly period ended March 31, 2026</w:t>
                            </w:r>
                          </w:p>
                        </w:txbxContent>
                      </v:textbox>
                      <w10:wrap type="none"/>
                    </v:rect>
                  </w:pict>
                </mc:Fallback>
              </mc:AlternateContent>
            </w:r>
          </w:p>
        </w:tc>
      </w:tr>
    </w:tbl>
    <w:p>
      <w:pPr>
        <w:pStyle w:val="TextBody"/>
        <w:bidi w:val="0"/>
        <w:spacing w:lineRule="auto" w:line="285" w:before="0" w:after="0"/>
        <w:ind w:left="0" w:right="0" w:hanging="0"/>
        <w:jc w:val="center"/>
        <w:rPr>
          <w:rFonts w:ascii="Times New Roman;Times;serif" w:hAnsi="Times New Roman;Times;serif"/>
          <w:b/>
          <w:sz w:val="2"/>
        </w:rPr>
      </w:pPr>
      <w:r>
        <w:rPr>
          <w:rFonts w:ascii="Times New Roman;Times;serif" w:hAnsi="Times New Roman;Times;serif"/>
          <w:b/>
          <w:sz w:val="2"/>
        </w:rPr>
        <w:t>6</w:t>
      </w:r>
    </w:p>
    <w:p>
      <w:pPr>
        <w:pStyle w:val="TextBody"/>
        <w:bidi w:val="0"/>
        <w:spacing w:lineRule="auto" w:line="285" w:before="120" w:after="12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9" w:name="Tc_u20cYtPNyk2InaE1zWzGbA_2_1"/>
      <w:bookmarkStart w:id="10" w:name="Tc_-o6gqzkcpk65ZipVLh5fuw_1_1"/>
      <w:bookmarkStart w:id="11" w:name="_989cf24b_1d20_46c5_8658_d2cb3d3cf9fa"/>
      <w:bookmarkStart w:id="12" w:name="Tc_u20cYtPNyk2InaE1zWzGbA_2_1"/>
      <w:bookmarkStart w:id="13" w:name="Tc_-o6gqzkcpk65ZipVLh5fuw_1_1"/>
      <w:bookmarkStart w:id="14" w:name="_989cf24b_1d20_46c5_8658_d2cb3d3cf9fa"/>
      <w:bookmarkEnd w:id="12"/>
      <w:bookmarkEnd w:id="13"/>
      <w:bookmarkEnd w:id="14"/>
    </w:p>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0185" cy="175260"/>
                      <wp:effectExtent l="0" t="0" r="0" b="0"/>
                      <wp:wrapNone/>
                      <wp:docPr id="5" name="Frame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77535" cy="175260"/>
                      <wp:effectExtent l="0" t="0" r="0" b="0"/>
                      <wp:wrapNone/>
                      <wp:docPr id="6" name="Frame6"/>
                      <a:graphic xmlns:a="http://schemas.openxmlformats.org/drawingml/2006/main">
                        <a:graphicData uri="http://schemas.microsoft.com/office/word/2010/wordprocessingShape">
                          <wps:wsp>
                            <wps:cNvSpPr txBox="1"/>
                            <wps:spPr>
                              <a:xfrm>
                                <a:off x="0" y="0"/>
                                <a:ext cx="567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center"/>
              <w:rPr/>
            </w:pPr>
            <w:r>
              <w:rPr/>
              <w:t>☐</w:t>
            </w:r>
          </w:p>
        </w:tc>
        <w:tc>
          <w:tcPr>
            <w:tcW w:w="89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TRANSITION REPORT PURSUANT TO SECTION 13 OR 15(d) OF THE SECURITIES EXCHANGE ACT OF 1934</w:t>
            </w:r>
          </w:p>
        </w:tc>
      </w:tr>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175260"/>
                      <wp:effectExtent l="0" t="0" r="0" b="0"/>
                      <wp:wrapNone/>
                      <wp:docPr id="7" name="Frame7"/>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lineRule="auto" w:line="285"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center"/>
                              <w:rPr/>
                            </w:pPr>
                            <w:r>
                              <w:rPr/>
                              <w:t>​</w:t>
                            </w:r>
                          </w:p>
                        </w:txbxContent>
                      </v:textbox>
                      <w10:wrap type="none"/>
                    </v:rect>
                  </w:pict>
                </mc:Fallback>
              </mc:AlternateContent>
            </w:r>
          </w:p>
        </w:tc>
        <w:tc>
          <w:tcPr>
            <w:tcW w:w="8941"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677535" cy="131445"/>
                      <wp:effectExtent l="0" t="0" r="0" b="0"/>
                      <wp:wrapNone/>
                      <wp:docPr id="8" name="Frame8"/>
                      <a:graphic xmlns:a="http://schemas.openxmlformats.org/drawingml/2006/main">
                        <a:graphicData uri="http://schemas.microsoft.com/office/word/2010/wordprocessingShape">
                          <wps:wsp>
                            <wps:cNvSpPr txBox="1"/>
                            <wps:spPr>
                              <a:xfrm>
                                <a:off x="0" y="0"/>
                                <a:ext cx="5677535" cy="13144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transition period from          to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0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For the transition period from          to          </w:t>
                            </w:r>
                          </w:p>
                        </w:txbxContent>
                      </v:textbox>
                      <w10:wrap type="none"/>
                    </v:rect>
                  </w:pict>
                </mc:Fallback>
              </mc:AlternateContent>
            </w:r>
          </w:p>
        </w:tc>
      </w:tr>
    </w:tbl>
    <w:p>
      <w:pPr>
        <w:pStyle w:val="TextBody"/>
        <w:bidi w:val="0"/>
        <w:spacing w:lineRule="auto" w:line="285"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001-37809</w:t>
      </w:r>
    </w:p>
    <w:p>
      <w:pPr>
        <w:pStyle w:val="TextBody"/>
        <w:bidi w:val="0"/>
        <w:spacing w:before="0" w:after="0"/>
        <w:ind w:left="0" w:right="0" w:hanging="0"/>
        <w:jc w:val="center"/>
        <w:rPr/>
      </w:pPr>
      <w:r>
        <w:rPr/>
        <w:drawing>
          <wp:inline distT="0" distB="0" distL="0" distR="0">
            <wp:extent cx="2724785" cy="5207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724785" cy="520700"/>
                    </a:xfrm>
                    <a:prstGeom prst="rect">
                      <a:avLst/>
                    </a:prstGeom>
                  </pic:spPr>
                </pic:pic>
              </a:graphicData>
            </a:graphic>
          </wp:inline>
        </w:drawing>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5" w:name="Tc_LuzoNsCiBkSSmzRqiuN0Iw_5_2"/>
      <w:bookmarkStart w:id="16" w:name="Tc_nxFXRKwUgEWd2iuSjCqqtA_5_0"/>
      <w:bookmarkStart w:id="17" w:name="Tc_lCmyaM_koEuHl9X_zT372w_4_0"/>
      <w:bookmarkStart w:id="18" w:name="Tc_GY15VI8n0UK9jGjD5l4CAg_2_2"/>
      <w:bookmarkStart w:id="19" w:name="Tc_NoodFgKDhU2A0DeL_tvohQ_2_0"/>
      <w:bookmarkStart w:id="20" w:name="_dd5c7303_a800_4878_b6a0_c69acf011de6"/>
      <w:bookmarkStart w:id="21" w:name="Tc_LuzoNsCiBkSSmzRqiuN0Iw_5_2"/>
      <w:bookmarkStart w:id="22" w:name="Tc_nxFXRKwUgEWd2iuSjCqqtA_5_0"/>
      <w:bookmarkStart w:id="23" w:name="Tc_lCmyaM_koEuHl9X_zT372w_4_0"/>
      <w:bookmarkStart w:id="24" w:name="Tc_GY15VI8n0UK9jGjD5l4CAg_2_2"/>
      <w:bookmarkStart w:id="25" w:name="Tc_NoodFgKDhU2A0DeL_tvohQ_2_0"/>
      <w:bookmarkStart w:id="26" w:name="_dd5c7303_a800_4878_b6a0_c69acf011de6"/>
      <w:bookmarkEnd w:id="21"/>
      <w:bookmarkEnd w:id="22"/>
      <w:bookmarkEnd w:id="23"/>
      <w:bookmarkEnd w:id="24"/>
      <w:bookmarkEnd w:id="25"/>
      <w:bookmarkEnd w:id="26"/>
    </w:p>
    <w:tbl>
      <w:tblPr>
        <w:tblW w:w="7011" w:type="dxa"/>
        <w:jc w:val="left"/>
        <w:tblInd w:w="0" w:type="dxa"/>
        <w:tblLayout w:type="fixed"/>
        <w:tblCellMar>
          <w:top w:w="0" w:type="dxa"/>
          <w:left w:w="0" w:type="dxa"/>
          <w:bottom w:w="0" w:type="dxa"/>
          <w:right w:w="0" w:type="dxa"/>
        </w:tblCellMar>
      </w:tblPr>
      <w:tblGrid>
        <w:gridCol w:w="4321"/>
        <w:gridCol w:w="109"/>
        <w:gridCol w:w="258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743835" cy="175260"/>
                      <wp:effectExtent l="0" t="0" r="0" b="0"/>
                      <wp:wrapNone/>
                      <wp:docPr id="10"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38935" cy="175260"/>
                      <wp:effectExtent l="0" t="0" r="0" b="0"/>
                      <wp:wrapNone/>
                      <wp:docPr id="12" name="Frame1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47-2389984</w: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r>
        <w:trPr/>
        <w:tc>
          <w:tcPr>
            <w:tcW w:w="432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545 Concord Avenue, Suite 210</w:t>
            </w:r>
          </w:p>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Cambridge, Massachusetts</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02138</w:t>
            </w:r>
          </w:p>
        </w:tc>
      </w:tr>
      <w:tr>
        <w:trPr/>
        <w:tc>
          <w:tcPr>
            <w:tcW w:w="432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09" w:type="dxa"/>
            <w:tcBorders/>
            <w:vAlign w:val="center"/>
          </w:tcPr>
          <w:p>
            <w:pPr>
              <w:pStyle w:val="TableContents"/>
              <w:bidi w:val="0"/>
              <w:spacing w:lineRule="auto" w:line="285" w:before="0" w:after="0"/>
              <w:ind w:left="0" w:right="0" w:hanging="0"/>
              <w:jc w:val="center"/>
              <w:rPr/>
            </w:pPr>
            <w:r>
              <w:rPr/>
              <w:t>​</w:t>
            </w:r>
          </w:p>
        </w:tc>
        <w:tc>
          <w:tcPr>
            <w:tcW w:w="2581" w:type="dxa"/>
            <w:tcBorders/>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lineRule="auto" w:line="285"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(857) 702-9600</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27" w:name="Tc_gKxbpISIXkKUvOe-Isn6gw_2_4"/>
      <w:bookmarkStart w:id="28" w:name="Tc_h5oIr5HAGEK2_tJSoiiK2g_1_4"/>
      <w:bookmarkStart w:id="29" w:name="Tc_7UBqh1SSjUuv4tvwJn9ggg_1_2"/>
      <w:bookmarkStart w:id="30" w:name="Tc_TZNTJ4eKi06hr-KSg-l2WQ_1_0"/>
      <w:bookmarkStart w:id="31" w:name="_7e40f4f5_affb_45cd_a5f3_613980f9489b"/>
      <w:bookmarkStart w:id="32" w:name="Tc_gKxbpISIXkKUvOe-Isn6gw_2_4"/>
      <w:bookmarkStart w:id="33" w:name="Tc_h5oIr5HAGEK2_tJSoiiK2g_1_4"/>
      <w:bookmarkStart w:id="34" w:name="Tc_7UBqh1SSjUuv4tvwJn9ggg_1_2"/>
      <w:bookmarkStart w:id="35" w:name="Tc_TZNTJ4eKi06hr-KSg-l2WQ_1_0"/>
      <w:bookmarkStart w:id="36" w:name="_7e40f4f5_affb_45cd_a5f3_613980f9489b"/>
      <w:bookmarkEnd w:id="32"/>
      <w:bookmarkEnd w:id="33"/>
      <w:bookmarkEnd w:id="34"/>
      <w:bookmarkEnd w:id="35"/>
      <w:bookmarkEnd w:id="36"/>
    </w:p>
    <w:tbl>
      <w:tblPr>
        <w:tblW w:w="7976" w:type="dxa"/>
        <w:jc w:val="left"/>
        <w:tblInd w:w="0" w:type="dxa"/>
        <w:tblLayout w:type="fixed"/>
        <w:tblCellMar>
          <w:top w:w="0" w:type="dxa"/>
          <w:left w:w="0" w:type="dxa"/>
          <w:bottom w:w="0" w:type="dxa"/>
          <w:right w:w="0" w:type="dxa"/>
        </w:tblCellMar>
      </w:tblPr>
      <w:tblGrid>
        <w:gridCol w:w="2476"/>
        <w:gridCol w:w="109"/>
        <w:gridCol w:w="1561"/>
        <w:gridCol w:w="109"/>
        <w:gridCol w:w="3721"/>
      </w:tblGrid>
      <w:tr>
        <w:trPr/>
        <w:tc>
          <w:tcPr>
            <w:tcW w:w="24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6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721" w:type="dxa"/>
            <w:tcBorders/>
            <w:vAlign w:val="center"/>
          </w:tcPr>
          <w:p>
            <w:pPr>
              <w:pStyle w:val="TableContents"/>
              <w:bidi w:val="0"/>
              <w:spacing w:lineRule="auto" w:line="285" w:before="0" w:after="0"/>
              <w:ind w:left="0" w:right="0" w:hanging="0"/>
              <w:jc w:val="left"/>
              <w:rPr/>
            </w:pPr>
            <w:r>
              <w:rPr/>
              <w:t>​</w:t>
            </w:r>
          </w:p>
        </w:tc>
      </w:tr>
      <w:tr>
        <w:trPr/>
        <w:tc>
          <w:tcPr>
            <w:tcW w:w="2476" w:type="dxa"/>
            <w:tcBorders>
              <w:bottom w:val="single" w:sz="2" w:space="0" w:color="000000"/>
            </w:tcBorders>
            <w:tcMar>
              <w:bottom w:w="28" w:type="dxa"/>
            </w:tcMar>
            <w:vAlign w:val="center"/>
          </w:tcPr>
          <w:p>
            <w:pPr>
              <w:pStyle w:val="TableContents"/>
              <w:bidi w:val="0"/>
              <w:spacing w:lineRule="auto" w:line="285" w:before="0" w:after="44"/>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lineRule="auto" w:line="285" w:before="0" w:after="44"/>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476"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18"/>
              </w:rPr>
            </w:pPr>
            <w:r>
              <w:rPr>
                <w:rFonts w:ascii="Times New Roman;Times;serif" w:hAnsi="Times New Roman;Times;serif"/>
                <w:sz w:val="18"/>
              </w:rPr>
              <w:t>Common stock, $0.001 par value</w:t>
            </w:r>
          </w:p>
        </w:tc>
        <w:tc>
          <w:tcPr>
            <w:tcW w:w="109" w:type="dxa"/>
            <w:tcBorders/>
            <w:vAlign w:val="center"/>
          </w:tcPr>
          <w:p>
            <w:pPr>
              <w:pStyle w:val="TableContents"/>
              <w:bidi w:val="0"/>
              <w:spacing w:lineRule="auto" w:line="285"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18"/>
              </w:rPr>
            </w:pPr>
            <w:r>
              <w:rPr>
                <w:rFonts w:ascii="Times New Roman;Times;serif" w:hAnsi="Times New Roman;Times;serif"/>
                <w:sz w:val="18"/>
              </w:rPr>
              <w:t>MTVA</w:t>
            </w:r>
          </w:p>
        </w:tc>
        <w:tc>
          <w:tcPr>
            <w:tcW w:w="109" w:type="dxa"/>
            <w:tcBorders/>
            <w:vAlign w:val="center"/>
          </w:tcPr>
          <w:p>
            <w:pPr>
              <w:pStyle w:val="TableContents"/>
              <w:bidi w:val="0"/>
              <w:spacing w:lineRule="auto" w:line="285" w:before="0" w:after="0"/>
              <w:ind w:left="0" w:right="0" w:hanging="0"/>
              <w:jc w:val="center"/>
              <w:rPr/>
            </w:pPr>
            <w:r>
              <w:rPr/>
              <w:t>​</w:t>
            </w:r>
          </w:p>
        </w:tc>
        <w:tc>
          <w:tcPr>
            <w:tcW w:w="3721" w:type="dxa"/>
            <w:tcBorders>
              <w:top w:val="single" w:sz="2" w:space="0" w:color="000000"/>
            </w:tcBorders>
            <w:tcMar>
              <w:top w:w="28" w:type="dxa"/>
            </w:tcMar>
            <w:vAlign w:val="center"/>
          </w:tcPr>
          <w:p>
            <w:pPr>
              <w:pStyle w:val="TableContents"/>
              <w:bidi w:val="0"/>
              <w:spacing w:lineRule="auto" w:line="285" w:before="0" w:after="44"/>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 LLC</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both"/>
        <w:rPr/>
      </w:pPr>
      <w:r>
        <w:rPr/>
        <w:t>​</w:t>
      </w:r>
    </w:p>
    <w:tbl>
      <w:tblPr>
        <w:tblW w:w="4667" w:type="dxa"/>
        <w:jc w:val="left"/>
        <w:tblInd w:w="0" w:type="dxa"/>
        <w:tblLayout w:type="fixed"/>
        <w:tblCellMar>
          <w:top w:w="0" w:type="dxa"/>
          <w:left w:w="0" w:type="dxa"/>
          <w:bottom w:w="0" w:type="dxa"/>
          <w:right w:w="0" w:type="dxa"/>
        </w:tblCellMar>
      </w:tblPr>
      <w:tblGrid>
        <w:gridCol w:w="2326"/>
        <w:gridCol w:w="234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77010" cy="29210"/>
                      <wp:effectExtent l="0" t="0" r="0" b="0"/>
                      <wp:wrapNone/>
                      <wp:docPr id="13" name="Frame12"/>
                      <a:graphic xmlns:a="http://schemas.openxmlformats.org/drawingml/2006/main">
                        <a:graphicData uri="http://schemas.microsoft.com/office/word/2010/wordprocessingShape">
                          <wps:wsp>
                            <wps:cNvSpPr txBox="1"/>
                            <wps:spPr>
                              <a:xfrm>
                                <a:off x="0" y="0"/>
                                <a:ext cx="147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86535" cy="29210"/>
                      <wp:effectExtent l="0" t="0" r="0" b="0"/>
                      <wp:wrapNone/>
                      <wp:docPr id="14" name="Frame13"/>
                      <a:graphic xmlns:a="http://schemas.openxmlformats.org/drawingml/2006/main">
                        <a:graphicData uri="http://schemas.microsoft.com/office/word/2010/wordprocessingShape">
                          <wps:wsp>
                            <wps:cNvSpPr txBox="1"/>
                            <wps:spPr>
                              <a:xfrm>
                                <a:off x="0" y="0"/>
                                <a:ext cx="1486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41"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w:t>
            </w:r>
          </w:p>
        </w:tc>
      </w:tr>
      <w:tr>
        <w:trPr/>
        <w:tc>
          <w:tcPr>
            <w:tcW w:w="2326"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c>
          <w:tcPr>
            <w:tcW w:w="2341" w:type="dxa"/>
            <w:tcBorders/>
            <w:vAlign w:val="center"/>
          </w:tcPr>
          <w:p>
            <w:pPr>
              <w:pStyle w:val="TableContents"/>
              <w:bidi w:val="0"/>
              <w:spacing w:lineRule="auto" w:line="304" w:before="0" w:after="0"/>
              <w:ind w:left="0" w:right="0" w:hanging="0"/>
              <w:jc w:val="left"/>
              <w:rPr/>
            </w:pPr>
            <w:r>
              <w:rPr/>
              <w:t> </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As of May 11, 2026, the registrant had 5,164,370 shares of common stock, $0.001 par value per share, issued and outstanding.</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7" w:name="_b9e66451_9890_430d_a89e_140aa19e379b"/>
      <w:bookmarkEnd w:id="37"/>
      <w:r>
        <w:rPr>
          <w:rFonts w:ascii="Times New Roman;Times;serif" w:hAnsi="Times New Roman;Times;serif"/>
          <w:b/>
          <w:sz w:val="20"/>
        </w:rPr>
        <w:t>METAVIA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8" w:name="Toc"/>
      <w:bookmarkEnd w:id="38"/>
      <w:r>
        <w:rPr>
          <w:rFonts w:ascii="Times New Roman;Times;serif" w:hAnsi="Times New Roman;Times;serif"/>
          <w:b/>
          <w:sz w:val="20"/>
        </w:rPr>
        <w:t>Table of Contents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68"/>
        <w:gridCol w:w="9075"/>
        <w:gridCol w:w="362"/>
      </w:tblGrid>
      <w:tr>
        <w:trPr/>
        <w:tc>
          <w:tcPr>
            <w:tcW w:w="768"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87680" cy="175260"/>
                      <wp:effectExtent l="0" t="0" r="0" b="0"/>
                      <wp:wrapNone/>
                      <wp:docPr id="15" name="Frame14"/>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75"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62625" cy="175260"/>
                      <wp:effectExtent l="0" t="0" r="0" b="0"/>
                      <wp:wrapNone/>
                      <wp:docPr id="16" name="Frame15"/>
                      <a:graphic xmlns:a="http://schemas.openxmlformats.org/drawingml/2006/main">
                        <a:graphicData uri="http://schemas.microsoft.com/office/word/2010/wordprocessingShape">
                          <wps:wsp>
                            <wps:cNvSpPr txBox="1"/>
                            <wps:spPr>
                              <a:xfrm>
                                <a:off x="0" y="0"/>
                                <a:ext cx="5762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2" w:type="dxa"/>
            <w:tcBorders/>
            <w:shd w:fill="CCEE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29870" cy="175260"/>
                      <wp:effectExtent l="0" t="0" r="0" b="0"/>
                      <wp:wrapNone/>
                      <wp:docPr id="17" name="Frame1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lineRule="auto" w:line="285" w:before="0" w:after="0"/>
              <w:ind w:left="0" w:right="0" w:hanging="0"/>
              <w:jc w:val="both"/>
              <w:rPr/>
            </w:pPr>
            <w:hyperlink w:anchor="Special_Note_Forward_Looking_Statements">
              <w:r>
                <w:rPr>
                  <w:rStyle w:val="InternetLink"/>
                  <w:rFonts w:ascii="Times New Roman;Times;serif" w:hAnsi="Times New Roman;Times;serif"/>
                  <w:b w:val="false"/>
                  <w:i w:val="false"/>
                  <w:caps w:val="false"/>
                  <w:smallCaps w:val="false"/>
                  <w:sz w:val="20"/>
                </w:rPr>
                <w:t>Special Note Regarding Forward-Looking Statements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8" w:type="dxa"/>
            <w:tcBorders/>
            <w:vAlign w:val="center"/>
          </w:tcPr>
          <w:p>
            <w:pPr>
              <w:pStyle w:val="TableContents"/>
              <w:bidi w:val="0"/>
              <w:spacing w:lineRule="auto" w:line="285" w:before="0" w:after="0"/>
              <w:ind w:left="0" w:right="0" w:hanging="0"/>
              <w:jc w:val="left"/>
              <w:rPr/>
            </w:pPr>
            <w:hyperlink w:anchor="PARTIFINANCIALINFORMATION_483013">
              <w:r>
                <w:rPr>
                  <w:rStyle w:val="InternetLink"/>
                  <w:rFonts w:ascii="Times New Roman;Times;serif" w:hAnsi="Times New Roman;Times;serif"/>
                  <w:b w:val="false"/>
                  <w:i w:val="false"/>
                  <w:caps w:val="false"/>
                  <w:smallCaps w:val="false"/>
                  <w:sz w:val="20"/>
                </w:rPr>
                <w:t>Part I</w:t>
              </w:r>
            </w:hyperlink>
          </w:p>
        </w:tc>
        <w:tc>
          <w:tcPr>
            <w:tcW w:w="9075" w:type="dxa"/>
            <w:tcBorders/>
            <w:vAlign w:val="center"/>
          </w:tcPr>
          <w:p>
            <w:pPr>
              <w:pStyle w:val="TableContents"/>
              <w:bidi w:val="0"/>
              <w:spacing w:lineRule="auto" w:line="285" w:before="0" w:after="0"/>
              <w:ind w:left="0" w:right="0" w:hanging="0"/>
              <w:jc w:val="both"/>
              <w:rPr/>
            </w:pPr>
            <w:hyperlink w:anchor="PARTIFINANCIALINFORMATION_483013">
              <w:r>
                <w:rPr>
                  <w:rStyle w:val="InternetLink"/>
                  <w:rFonts w:ascii="Times New Roman;Times;serif" w:hAnsi="Times New Roman;Times;serif"/>
                  <w:b w:val="false"/>
                  <w:i w:val="false"/>
                  <w:caps w:val="false"/>
                  <w:smallCaps w:val="false"/>
                  <w:sz w:val="20"/>
                </w:rPr>
                <w:t>Financial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1FINANCIALSTATEMENTS_386115">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1FINANCIALSTATEMENTS_386115">
              <w:r>
                <w:rPr>
                  <w:rStyle w:val="InternetLink"/>
                  <w:rFonts w:ascii="Times New Roman;Times;serif" w:hAnsi="Times New Roman;Times;serif"/>
                  <w:b w:val="false"/>
                  <w:i w:val="false"/>
                  <w:caps w:val="false"/>
                  <w:smallCaps w:val="false"/>
                  <w:sz w:val="20"/>
                </w:rPr>
                <w:t>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68" w:type="dxa"/>
            <w:tcBorders/>
            <w:vAlign w:val="center"/>
          </w:tcPr>
          <w:p>
            <w:pPr>
              <w:pStyle w:val="TableContents"/>
              <w:bidi w:val="0"/>
              <w:spacing w:lineRule="auto" w:line="285" w:before="0" w:after="0"/>
              <w:ind w:left="0" w:right="0" w:hanging="0"/>
              <w:jc w:val="left"/>
              <w:rPr/>
            </w:pPr>
            <w:r>
              <w:rPr/>
              <w:t>​</w:t>
            </w:r>
          </w:p>
        </w:tc>
        <w:tc>
          <w:tcPr>
            <w:tcW w:w="9075" w:type="dxa"/>
            <w:tcBorders/>
            <w:vAlign w:val="center"/>
          </w:tcPr>
          <w:p>
            <w:pPr>
              <w:pStyle w:val="TableContents"/>
              <w:bidi w:val="0"/>
              <w:spacing w:lineRule="auto" w:line="285" w:before="0" w:after="0"/>
              <w:ind w:left="0" w:right="0" w:hanging="0"/>
              <w:jc w:val="both"/>
              <w:rPr/>
            </w:pPr>
            <w:hyperlink w:anchor="BalanceSheets_383724">
              <w:r>
                <w:rPr>
                  <w:rStyle w:val="InternetLink"/>
                  <w:rFonts w:ascii="Times New Roman;Times;serif" w:hAnsi="Times New Roman;Times;serif"/>
                  <w:b w:val="false"/>
                  <w:i w:val="false"/>
                  <w:caps w:val="false"/>
                  <w:smallCaps w:val="false"/>
                  <w:sz w:val="20"/>
                </w:rPr>
                <w:t>Condensed Consolidated Balance Sheets as of March 31, 2026 and December 31, 2025 (Unaudited)</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68" w:type="dxa"/>
            <w:tcBorders/>
            <w:shd w:fill="CCEEFF" w:val="clear"/>
            <w:vAlign w:val="center"/>
          </w:tcPr>
          <w:p>
            <w:pPr>
              <w:pStyle w:val="TableContents"/>
              <w:bidi w:val="0"/>
              <w:spacing w:lineRule="auto" w:line="285" w:before="0" w:after="0"/>
              <w:ind w:left="0" w:right="0" w:hanging="0"/>
              <w:jc w:val="left"/>
              <w:rPr/>
            </w:pPr>
            <w:r>
              <w:rPr/>
              <w:t>​</w:t>
            </w:r>
          </w:p>
        </w:tc>
        <w:tc>
          <w:tcPr>
            <w:tcW w:w="9075" w:type="dxa"/>
            <w:tcBorders/>
            <w:shd w:fill="CCEEFF" w:val="clear"/>
            <w:vAlign w:val="center"/>
          </w:tcPr>
          <w:p>
            <w:pPr>
              <w:pStyle w:val="TableContents"/>
              <w:bidi w:val="0"/>
              <w:spacing w:lineRule="auto" w:line="285" w:before="0" w:after="0"/>
              <w:ind w:left="0" w:right="0" w:hanging="0"/>
              <w:jc w:val="both"/>
              <w:rPr/>
            </w:pPr>
            <w:hyperlink w:anchor="ComprehensiveLoss_1868">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8" w:type="dxa"/>
            <w:tcBorders/>
            <w:vAlign w:val="center"/>
          </w:tcPr>
          <w:p>
            <w:pPr>
              <w:pStyle w:val="TableContents"/>
              <w:bidi w:val="0"/>
              <w:spacing w:lineRule="auto" w:line="285" w:before="0" w:after="0"/>
              <w:ind w:left="0" w:right="0" w:hanging="0"/>
              <w:jc w:val="left"/>
              <w:rPr/>
            </w:pPr>
            <w:r>
              <w:rPr/>
              <w:t>​</w:t>
            </w:r>
          </w:p>
        </w:tc>
        <w:tc>
          <w:tcPr>
            <w:tcW w:w="9075" w:type="dxa"/>
            <w:tcBorders/>
            <w:vAlign w:val="center"/>
          </w:tcPr>
          <w:p>
            <w:pPr>
              <w:pStyle w:val="TableContents"/>
              <w:bidi w:val="0"/>
              <w:spacing w:lineRule="auto" w:line="285" w:before="0" w:after="0"/>
              <w:ind w:left="0" w:right="0" w:hanging="0"/>
              <w:jc w:val="both"/>
              <w:rPr/>
            </w:pPr>
            <w:hyperlink w:anchor="Stockholders_238774">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2026 and 2025 (Unaudited)</w:t>
              </w:r>
            </w:hyperlink>
            <w:r>
              <w:rPr>
                <w:rFonts w:ascii="Times New Roman;Times;serif" w:hAnsi="Times New Roman;Times;serif"/>
                <w:sz w:val="20"/>
              </w:rPr>
              <w:t xml:space="preserve"> </w:t>
            </w:r>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8" w:type="dxa"/>
            <w:tcBorders/>
            <w:shd w:fill="CCEEFF" w:val="clear"/>
            <w:vAlign w:val="center"/>
          </w:tcPr>
          <w:p>
            <w:pPr>
              <w:pStyle w:val="TableContents"/>
              <w:bidi w:val="0"/>
              <w:spacing w:lineRule="auto" w:line="285" w:before="0" w:after="0"/>
              <w:ind w:left="0" w:right="0" w:hanging="0"/>
              <w:jc w:val="left"/>
              <w:rPr/>
            </w:pPr>
            <w:r>
              <w:rPr/>
              <w:t>​</w:t>
            </w:r>
          </w:p>
        </w:tc>
        <w:tc>
          <w:tcPr>
            <w:tcW w:w="9075" w:type="dxa"/>
            <w:tcBorders/>
            <w:shd w:fill="CCEEFF" w:val="clear"/>
            <w:vAlign w:val="center"/>
          </w:tcPr>
          <w:p>
            <w:pPr>
              <w:pStyle w:val="TableContents"/>
              <w:bidi w:val="0"/>
              <w:spacing w:lineRule="auto" w:line="285" w:before="0" w:after="0"/>
              <w:ind w:left="0" w:right="0" w:hanging="0"/>
              <w:jc w:val="both"/>
              <w:rPr/>
            </w:pPr>
            <w:hyperlink w:anchor="CashFlows_19527">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8" w:type="dxa"/>
            <w:tcBorders/>
            <w:vAlign w:val="center"/>
          </w:tcPr>
          <w:p>
            <w:pPr>
              <w:pStyle w:val="TableContents"/>
              <w:bidi w:val="0"/>
              <w:spacing w:lineRule="auto" w:line="285" w:before="0" w:after="0"/>
              <w:ind w:left="0" w:right="0" w:hanging="0"/>
              <w:jc w:val="left"/>
              <w:rPr/>
            </w:pPr>
            <w:r>
              <w:rPr/>
              <w:t>​</w:t>
            </w:r>
          </w:p>
        </w:tc>
        <w:tc>
          <w:tcPr>
            <w:tcW w:w="9075" w:type="dxa"/>
            <w:tcBorders/>
            <w:vAlign w:val="center"/>
          </w:tcPr>
          <w:p>
            <w:pPr>
              <w:pStyle w:val="TableContents"/>
              <w:bidi w:val="0"/>
              <w:spacing w:lineRule="auto" w:line="285" w:before="0" w:after="0"/>
              <w:ind w:left="0" w:right="0" w:hanging="0"/>
              <w:jc w:val="both"/>
              <w:rPr/>
            </w:pPr>
            <w:hyperlink w:anchor="TheCompanyandBasisofPresentation_829357">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2MANAGEMENTSDISCUSSION_974141">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2MANAGEMENTSDISCUSSION_97414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68" w:type="dxa"/>
            <w:tcBorders/>
            <w:vAlign w:val="center"/>
          </w:tcPr>
          <w:p>
            <w:pPr>
              <w:pStyle w:val="TableContents"/>
              <w:bidi w:val="0"/>
              <w:spacing w:lineRule="auto" w:line="285" w:before="0" w:after="0"/>
              <w:ind w:left="0" w:right="0" w:hanging="0"/>
              <w:jc w:val="left"/>
              <w:rPr/>
            </w:pPr>
            <w:hyperlink w:anchor="ITEM3QUANTITATIVEANDQUALITATIVE_543894">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9075" w:type="dxa"/>
            <w:tcBorders/>
            <w:vAlign w:val="center"/>
          </w:tcPr>
          <w:p>
            <w:pPr>
              <w:pStyle w:val="TableContents"/>
              <w:bidi w:val="0"/>
              <w:spacing w:lineRule="auto" w:line="285" w:before="0" w:after="0"/>
              <w:ind w:left="0" w:right="0" w:hanging="0"/>
              <w:jc w:val="both"/>
              <w:rPr/>
            </w:pPr>
            <w:hyperlink w:anchor="ITEM3QUANTITATIVEANDQUALITATIVE_54389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4CONTROLSANDPROCEDURES_128146">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4CONTROLSANDPROCEDURES_128146">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68" w:type="dxa"/>
            <w:tcBorders/>
            <w:vAlign w:val="center"/>
          </w:tcPr>
          <w:p>
            <w:pPr>
              <w:pStyle w:val="TableContents"/>
              <w:bidi w:val="0"/>
              <w:spacing w:lineRule="auto" w:line="285" w:before="0" w:after="0"/>
              <w:ind w:left="0" w:right="0" w:hanging="0"/>
              <w:jc w:val="left"/>
              <w:rPr/>
            </w:pPr>
            <w:hyperlink w:anchor="PARTIIOTHERINFORMATION_875534">
              <w:r>
                <w:rPr>
                  <w:rStyle w:val="InternetLink"/>
                  <w:rFonts w:ascii="Times New Roman;Times;serif" w:hAnsi="Times New Roman;Times;serif"/>
                  <w:b w:val="false"/>
                  <w:i w:val="false"/>
                  <w:caps w:val="false"/>
                  <w:smallCaps w:val="false"/>
                  <w:sz w:val="20"/>
                </w:rPr>
                <w:t>Part II</w:t>
              </w:r>
            </w:hyperlink>
          </w:p>
        </w:tc>
        <w:tc>
          <w:tcPr>
            <w:tcW w:w="9075" w:type="dxa"/>
            <w:tcBorders/>
            <w:vAlign w:val="center"/>
          </w:tcPr>
          <w:p>
            <w:pPr>
              <w:pStyle w:val="TableContents"/>
              <w:bidi w:val="0"/>
              <w:spacing w:lineRule="auto" w:line="285" w:before="0" w:after="0"/>
              <w:ind w:left="0" w:right="0" w:hanging="0"/>
              <w:jc w:val="both"/>
              <w:rPr/>
            </w:pPr>
            <w:hyperlink w:anchor="PARTIIOTHERINFORMATION_875534">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1LEGALPROCEEDINGS_628869">
              <w:r>
                <w:rPr>
                  <w:rStyle w:val="InternetLink"/>
                  <w:rFonts w:ascii="Times New Roman;Times;serif" w:hAnsi="Times New Roman;Times;serif"/>
                  <w:b w:val="false"/>
                  <w:i w:val="false"/>
                  <w:caps w:val="false"/>
                  <w:smallCaps w:val="false"/>
                  <w:sz w:val="20"/>
                </w:rPr>
                <w:t>Item 1.</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1LEGALPROCEEDINGS_628869">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vAlign w:val="center"/>
          </w:tcPr>
          <w:p>
            <w:pPr>
              <w:pStyle w:val="TableContents"/>
              <w:bidi w:val="0"/>
              <w:spacing w:lineRule="auto" w:line="285" w:before="0" w:after="0"/>
              <w:ind w:left="0" w:right="0" w:hanging="0"/>
              <w:jc w:val="left"/>
              <w:rPr/>
            </w:pPr>
            <w:hyperlink w:anchor="ITEM1A_RISK_FACTORS">
              <w:r>
                <w:rPr>
                  <w:rStyle w:val="InternetLink"/>
                  <w:rFonts w:ascii="Times New Roman;Times;serif" w:hAnsi="Times New Roman;Times;serif"/>
                  <w:b w:val="false"/>
                  <w:i w:val="false"/>
                  <w:caps w:val="false"/>
                  <w:smallCaps w:val="false"/>
                  <w:sz w:val="20"/>
                </w:rPr>
                <w:t>Item 1A.</w:t>
              </w:r>
            </w:hyperlink>
            <w:r>
              <w:rPr>
                <w:rFonts w:ascii="Times New Roman;Times;serif" w:hAnsi="Times New Roman;Times;serif"/>
                <w:sz w:val="20"/>
              </w:rPr>
              <w:t xml:space="preserve"> </w:t>
            </w:r>
          </w:p>
        </w:tc>
        <w:tc>
          <w:tcPr>
            <w:tcW w:w="9075" w:type="dxa"/>
            <w:tcBorders/>
            <w:vAlign w:val="center"/>
          </w:tcPr>
          <w:p>
            <w:pPr>
              <w:pStyle w:val="TableContents"/>
              <w:bidi w:val="0"/>
              <w:spacing w:lineRule="auto" w:line="285" w:before="0" w:after="0"/>
              <w:ind w:left="0" w:right="0" w:hanging="0"/>
              <w:jc w:val="both"/>
              <w:rPr/>
            </w:pPr>
            <w:hyperlink w:anchor="ITEM1A_RISK_FACTORS">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2UNREGISTEREDSALESOFEQUITY_733918">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2UNREGISTEREDSALESOFEQUITY_733918">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vAlign w:val="center"/>
          </w:tcPr>
          <w:p>
            <w:pPr>
              <w:pStyle w:val="TableContents"/>
              <w:bidi w:val="0"/>
              <w:spacing w:lineRule="auto" w:line="285" w:before="0" w:after="0"/>
              <w:ind w:left="0" w:right="0" w:hanging="0"/>
              <w:jc w:val="left"/>
              <w:rPr/>
            </w:pPr>
            <w:hyperlink w:anchor="ITEM3DEFAULTUPON_78011">
              <w:r>
                <w:rPr>
                  <w:rStyle w:val="InternetLink"/>
                  <w:rFonts w:ascii="Times New Roman;Times;serif" w:hAnsi="Times New Roman;Times;serif"/>
                  <w:b w:val="false"/>
                  <w:i w:val="false"/>
                  <w:caps w:val="false"/>
                  <w:smallCaps w:val="false"/>
                  <w:sz w:val="20"/>
                </w:rPr>
                <w:t>Item 3.</w:t>
              </w:r>
            </w:hyperlink>
            <w:r>
              <w:rPr>
                <w:rFonts w:ascii="Times New Roman;Times;serif" w:hAnsi="Times New Roman;Times;serif"/>
                <w:sz w:val="20"/>
              </w:rPr>
              <w:t xml:space="preserve"> </w:t>
            </w:r>
          </w:p>
        </w:tc>
        <w:tc>
          <w:tcPr>
            <w:tcW w:w="9075" w:type="dxa"/>
            <w:tcBorders/>
            <w:vAlign w:val="center"/>
          </w:tcPr>
          <w:p>
            <w:pPr>
              <w:pStyle w:val="TableContents"/>
              <w:bidi w:val="0"/>
              <w:spacing w:lineRule="auto" w:line="285" w:before="0" w:after="0"/>
              <w:ind w:left="0" w:right="0" w:hanging="0"/>
              <w:jc w:val="both"/>
              <w:rPr/>
            </w:pPr>
            <w:hyperlink w:anchor="ITEM3DEFAULTUPON_78011">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ITEM4MINESAFETYDISCLOSURES_886185">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ITEM4MINESAFETYDISCLOSURES_886185">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vAlign w:val="center"/>
          </w:tcPr>
          <w:p>
            <w:pPr>
              <w:pStyle w:val="TableContents"/>
              <w:bidi w:val="0"/>
              <w:spacing w:lineRule="auto" w:line="285" w:before="0" w:after="0"/>
              <w:ind w:left="0" w:right="0" w:hanging="0"/>
              <w:jc w:val="left"/>
              <w:rPr/>
            </w:pPr>
            <w:hyperlink w:anchor="ITEM5OTHERINFORMATION_858772">
              <w:r>
                <w:rPr>
                  <w:rStyle w:val="InternetLink"/>
                  <w:rFonts w:ascii="Times New Roman;Times;serif" w:hAnsi="Times New Roman;Times;serif"/>
                  <w:b w:val="false"/>
                  <w:i w:val="false"/>
                  <w:caps w:val="false"/>
                  <w:smallCaps w:val="false"/>
                  <w:sz w:val="20"/>
                </w:rPr>
                <w:t>Item 5.</w:t>
              </w:r>
            </w:hyperlink>
            <w:r>
              <w:rPr>
                <w:rFonts w:ascii="Times New Roman;Times;serif" w:hAnsi="Times New Roman;Times;serif"/>
                <w:sz w:val="20"/>
              </w:rPr>
              <w:t xml:space="preserve"> </w:t>
            </w:r>
          </w:p>
        </w:tc>
        <w:tc>
          <w:tcPr>
            <w:tcW w:w="9075" w:type="dxa"/>
            <w:tcBorders/>
            <w:vAlign w:val="center"/>
          </w:tcPr>
          <w:p>
            <w:pPr>
              <w:pStyle w:val="TableContents"/>
              <w:bidi w:val="0"/>
              <w:spacing w:lineRule="auto" w:line="285" w:before="0" w:after="0"/>
              <w:ind w:left="0" w:right="0" w:hanging="0"/>
              <w:jc w:val="both"/>
              <w:rPr/>
            </w:pPr>
            <w:hyperlink w:anchor="ITEM5OTHERINFORMATION_858772">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768" w:type="dxa"/>
            <w:tcBorders/>
            <w:shd w:fill="CCEEFF" w:val="clear"/>
            <w:vAlign w:val="center"/>
          </w:tcPr>
          <w:p>
            <w:pPr>
              <w:pStyle w:val="TableContents"/>
              <w:bidi w:val="0"/>
              <w:spacing w:lineRule="auto" w:line="285" w:before="0" w:after="0"/>
              <w:ind w:left="0" w:right="0" w:hanging="0"/>
              <w:jc w:val="left"/>
              <w:rPr/>
            </w:pPr>
            <w:hyperlink w:anchor="EXHIBITS_650020">
              <w:r>
                <w:rPr>
                  <w:rStyle w:val="InternetLink"/>
                  <w:rFonts w:ascii="Times New Roman;Times;serif" w:hAnsi="Times New Roman;Times;serif"/>
                  <w:b w:val="false"/>
                  <w:i w:val="false"/>
                  <w:caps w:val="false"/>
                  <w:smallCaps w:val="false"/>
                  <w:sz w:val="20"/>
                </w:rPr>
                <w:t>Item 6.</w:t>
              </w:r>
            </w:hyperlink>
            <w:r>
              <w:rPr>
                <w:rFonts w:ascii="Times New Roman;Times;serif" w:hAnsi="Times New Roman;Times;serif"/>
                <w:sz w:val="20"/>
              </w:rPr>
              <w:t xml:space="preserve"> </w:t>
            </w:r>
          </w:p>
        </w:tc>
        <w:tc>
          <w:tcPr>
            <w:tcW w:w="9075" w:type="dxa"/>
            <w:tcBorders/>
            <w:shd w:fill="CCEEFF" w:val="clear"/>
            <w:vAlign w:val="center"/>
          </w:tcPr>
          <w:p>
            <w:pPr>
              <w:pStyle w:val="TableContents"/>
              <w:bidi w:val="0"/>
              <w:spacing w:lineRule="auto" w:line="285" w:before="0" w:after="0"/>
              <w:ind w:left="0" w:right="0" w:hanging="0"/>
              <w:jc w:val="both"/>
              <w:rPr/>
            </w:pPr>
            <w:hyperlink w:anchor="EXHIBITS_650020">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843" w:type="dxa"/>
            <w:gridSpan w:val="2"/>
            <w:tcBorders/>
            <w:vAlign w:val="center"/>
          </w:tcPr>
          <w:p>
            <w:pPr>
              <w:pStyle w:val="TableContents"/>
              <w:bidi w:val="0"/>
              <w:spacing w:lineRule="auto" w:line="285" w:before="0" w:after="0"/>
              <w:ind w:left="0" w:right="0" w:hanging="0"/>
              <w:jc w:val="left"/>
              <w:rPr/>
            </w:pPr>
            <w:hyperlink w:anchor="SIGNATURES_188328">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Unless the context requires otherwise, references in this Quarterly Report on Form 10-Q for the quarterly period ended March 31, 2026 (this “Report”) to “we,” “us,” “the Company,” “MetaVia,” “the Registrant” and “our” refer to MetaVia Inc. and its subsidiaries.</w:t>
      </w:r>
    </w:p>
    <w:p>
      <w:pPr>
        <w:pStyle w:val="TextBody"/>
        <w:bidi w:val="0"/>
        <w:spacing w:lineRule="auto" w:line="285" w:before="0" w:after="160"/>
        <w:ind w:left="0" w:right="0" w:hanging="0"/>
        <w:jc w:val="center"/>
        <w:rPr>
          <w:rFonts w:ascii="Times New Roman;Times;serif" w:hAnsi="Times New Roman;Times;serif"/>
          <w:b/>
          <w:sz w:val="20"/>
        </w:rPr>
      </w:pPr>
      <w:bookmarkStart w:id="39" w:name="Special_Note_Forward_Looking_Statements"/>
      <w:bookmarkEnd w:id="39"/>
      <w:r>
        <w:rPr>
          <w:rFonts w:ascii="Times New Roman;Times;serif" w:hAnsi="Times New Roman;Times;serif"/>
          <w:b/>
          <w:sz w:val="20"/>
        </w:rPr>
        <w:t>Special Note Regarding Forward-Looking Statements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safe harbor provisions of Section 27A of the Securities Act of 1933, as amended (the “Securities Act”), and Section 21E of the Securities Exchange Act of 1934, as amended (the “Exchange Act”). </w:t>
      </w:r>
      <w:r>
        <w:rPr>
          <w:rFonts w:ascii="Times New Roman;Times;serif" w:hAnsi="Times New Roman;Times;serif"/>
          <w:sz w:val="20"/>
          <w:shd w:fill="FFFFFF" w:val="clear"/>
        </w:rPr>
        <w:t xml:space="preserve">All statements that address future operating performance, events or developments that we expect or anticipate will occur in the future are forward-looking statements, including without limitation, our </w:t>
      </w:r>
      <w:r>
        <w:rPr>
          <w:rFonts w:ascii="Times New Roman;Times;serif" w:hAnsi="Times New Roman;Times;serif"/>
          <w:sz w:val="20"/>
        </w:rPr>
        <w:t>expectations regarding our ability to execute our commercial strategy; our expectations regarding the sufficiency of our existing cash and cash equivalents on hand to fund our operations; the timeline for regulatory submissions, regulatory steps and potential regulatory approval</w:t>
      </w:r>
      <w:r>
        <w:rPr>
          <w:rFonts w:ascii="Times New Roman;Times;serif" w:hAnsi="Times New Roman;Times;serif"/>
          <w:sz w:val="20"/>
          <w:shd w:fill="FFFFFF" w:val="clear"/>
        </w:rPr>
        <w:t xml:space="preserve"> of our current and future product candidates; the ability to realize the benefits of the license agreement with Dong-A ST Co., Ltd., a related party (“Dong-A ST”), including the impact on our future financial and operating results; the ability to integrate the product candidates into our business in a timely and cost-efficient manner; the cooperation of our contract manufacturers, clinical study partners and others involved in the development of our current and future product candidates; our ability to initiate clinical trials on a timely basis; our planned clinical trials and our ability to recruit subjects for our clinical trials; the costs related to the license agreement, known and unknown, including costs of any litigation or regulatory actions relating to the license agreement; the changes in applicable laws or regulations; and the effects of changes to our stock price on the terms of the license agreement and any future fundraising and other risks and uncertainties described in this Report and in our Annual Report on Form 10-K for the fiscal year ended December 31, 2025 (</w:t>
      </w:r>
      <w:r>
        <w:rPr>
          <w:rFonts w:ascii="Times New Roman;Times;serif" w:hAnsi="Times New Roman;Times;serif"/>
          <w:sz w:val="20"/>
        </w:rPr>
        <w:t>“</w:t>
      </w:r>
      <w:r>
        <w:rPr>
          <w:rFonts w:ascii="Times New Roman;Times;serif" w:hAnsi="Times New Roman;Times;serif"/>
          <w:sz w:val="20"/>
          <w:shd w:fill="FFFFFF" w:val="clear"/>
        </w:rPr>
        <w:t>2025 Form 10-K</w:t>
      </w:r>
      <w:r>
        <w:rPr>
          <w:rFonts w:ascii="Times New Roman;Times;serif" w:hAnsi="Times New Roman;Times;serif"/>
          <w:sz w:val="20"/>
        </w:rPr>
        <w:t>”</w:t>
      </w:r>
      <w:r>
        <w:rPr>
          <w:rFonts w:ascii="Times New Roman;Times;serif" w:hAnsi="Times New Roman;Times;serif"/>
          <w:sz w:val="20"/>
          <w:shd w:fill="FFFFFF" w:val="clear"/>
        </w:rPr>
        <w:t xml:space="preserve">), and in our other filings with the Securities and Exchange Commission (the “SEC”). </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Forward-looking statements are based on management’s current expectations and assumptions about future events, which are inhere</w:t>
      </w:r>
      <w:r>
        <w:rPr>
          <w:rFonts w:ascii="Times New Roman;Times;serif" w:hAnsi="Times New Roman;Times;serif"/>
          <w:sz w:val="20"/>
        </w:rPr>
        <w:t xml:space="preserve">ntly subject to uncertainties, risks and changes in circumstances that are difficult to predict. These statements may be identified by words such as </w:t>
      </w:r>
      <w:r>
        <w:rPr>
          <w:rFonts w:ascii="Times New Roman;Times;serif" w:hAnsi="Times New Roman;Times;serif"/>
          <w:sz w:val="20"/>
          <w:shd w:fill="FFFFFF" w:val="clear"/>
        </w:rPr>
        <w:t>“anticipate,” “believe,” “continue,” “could,” “estimate,” “expect,” “intend,” “may,” “ongoing,” “plan,” “potential,” “predict,” “project,” “should,” “will,” “would” or the negative of these terms or other comparable terminology, although not all forward-looking statements contain these words. In addition, statements that “we believe,” “we expect,” “we anticipate” and similar statements reflect our beliefs and opinions on the relevant subject. These statements are based upon information available to us as of the date of this Report and management believes that these forward-looking statements are reasonable as and when made. However, you should not place undue reliance on forward-looking statements because they speak only as of the date when made. We undertake no obligation to update or revise forward-looking statements to reflect changed assumptions, the occurrence of unanticipated events or changes to future operating results or expectations, except as required by law.</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Forward-looking statements are subject to a number of risks and uncertainties, and actual results, developments or events could differ materially from those disclosed in the forward-looking statements, including without limitation, the possibility that regulatory authorities do not accept our applications or approve the marketing of our products, the possibility we may be unable to raise the funds necessary for the development and commercialization of our products, and those described in this Report and in our other filings with the SEC.</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operate in an evolving environment. New risk factors and uncertainties may emerge from time to time, and it is not possible for us to predict all risk factors and uncertainties. We qualify all of our forward-looking statements by these cautionary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160"/>
        <w:ind w:left="0" w:right="0" w:hanging="0"/>
        <w:jc w:val="left"/>
        <w:rPr>
          <w:rFonts w:ascii="Times New Roman;Times;serif" w:hAnsi="Times New Roman;Times;serif"/>
          <w:b/>
          <w:sz w:val="20"/>
        </w:rPr>
      </w:pPr>
      <w:bookmarkStart w:id="40" w:name="PARTIFINANCIALINFORMATION_483013"/>
      <w:bookmarkStart w:id="41" w:name="_b7625c60_8344_4b10_8787_f00fd494588a"/>
      <w:bookmarkEnd w:id="40"/>
      <w:bookmarkEnd w:id="41"/>
      <w:r>
        <w:rPr>
          <w:rFonts w:ascii="Times New Roman;Times;serif" w:hAnsi="Times New Roman;Times;serif"/>
          <w:b/>
          <w:sz w:val="20"/>
        </w:rPr>
        <w:t>Part I - Financial Information</w:t>
      </w:r>
    </w:p>
    <w:p>
      <w:pPr>
        <w:pStyle w:val="TextBody"/>
        <w:bidi w:val="0"/>
        <w:spacing w:lineRule="auto" w:line="285" w:before="0" w:after="0"/>
        <w:ind w:left="0" w:right="0" w:hanging="0"/>
        <w:jc w:val="left"/>
        <w:rPr>
          <w:rFonts w:ascii="Times New Roman;Times;serif" w:hAnsi="Times New Roman;Times;serif"/>
          <w:sz w:val="20"/>
        </w:rPr>
      </w:pPr>
      <w:bookmarkStart w:id="42" w:name="ITEM1FINANCIALSTATEMENTS_386115"/>
      <w:bookmarkStart w:id="43" w:name="DSPFPageNumberArea"/>
      <w:bookmarkEnd w:id="42"/>
      <w:bookmarkEnd w:id="43"/>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44" w:name="BalanceSheets_383724"/>
      <w:bookmarkEnd w:id="44"/>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and per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5" w:name="Tc_8NBDxofnJ0CYn_elEsBKYg_30_5"/>
      <w:bookmarkStart w:id="46" w:name="Tc_IEhDFjkbUE-Sl3TXgMr9Hg_30_2"/>
      <w:bookmarkStart w:id="47" w:name="Tc_9KemEf7nfEuzKXQoMt8TBg_30_0"/>
      <w:bookmarkStart w:id="48" w:name="Tc_DiTSv1PcKUq1V-TsV-EtSA_29_0"/>
      <w:bookmarkStart w:id="49" w:name="Tc_dtBk-5n1F0S3UbncxEOthg_28_0"/>
      <w:bookmarkStart w:id="50" w:name="Tc_rKHWzkrIeUWgBS68xJGBQA_27_0"/>
      <w:bookmarkStart w:id="51" w:name="Tc_7M5qCjC07U675idT7MwVrQ_26_0"/>
      <w:bookmarkStart w:id="52" w:name="Tc_TDlPp35paUevrWUtf74HJQ_25_0"/>
      <w:bookmarkStart w:id="53" w:name="Tc_HNy-Dw3iMEigK33cKEZdnw_24_0"/>
      <w:bookmarkStart w:id="54" w:name="Tc_tBZl0FNU6024T6xQXX54Xw_23_0"/>
      <w:bookmarkStart w:id="55" w:name="Tc_EDmdERIqZESTe41FTc-tBA_22_0"/>
      <w:bookmarkStart w:id="56" w:name="Tc_M3eJP8H4kEKE881k7x7PMQ_21_0"/>
      <w:bookmarkStart w:id="57" w:name="Tc_HDE1aTHfIUOqtJsAKY_q6A_20_0"/>
      <w:bookmarkStart w:id="58" w:name="Tc_hr23YtFWR0q86khPJufWWA_19_0"/>
      <w:bookmarkStart w:id="59" w:name="Tc_qt53Rt1mrE2yaRaQg3_pXw_17_0"/>
      <w:bookmarkStart w:id="60" w:name="Tc_9KNSE3PVUEWaGYe_I3MjgQ_16_0"/>
      <w:bookmarkStart w:id="61" w:name="Tc__W-zRWkp5UCfycPe8cKP-w_15_0"/>
      <w:bookmarkStart w:id="62" w:name="Tc_mSc0r7RT50ydvv4Y97dakQ_14_5"/>
      <w:bookmarkStart w:id="63" w:name="Tc_8TB9Z3dAv0yd_6uU5EXvMw_14_2"/>
      <w:bookmarkStart w:id="64" w:name="Tc_lNT_-JGdXkuI5G8zc7Ks9A_14_0"/>
      <w:bookmarkStart w:id="65" w:name="Tc_oi_-LReT2kSl7_Sknzg8WQ_13_0"/>
      <w:bookmarkStart w:id="66" w:name="Tc_esbUkqGyCEWTo5_QrsQEuQ_12_0"/>
      <w:bookmarkStart w:id="67" w:name="Tc_zsVAMs5gGUC9rAsGE1rmUg_11_5"/>
      <w:bookmarkStart w:id="68" w:name="Tc_GUTBk_fuXE2FCVlYcLFHYQ_11_2"/>
      <w:bookmarkStart w:id="69" w:name="Tc_Rh51uSrkTEG8ynBQ8fwYhg_11_0"/>
      <w:bookmarkStart w:id="70" w:name="Tc_8kCwiWmvDUKgEWTNzjsHSA_10_0"/>
      <w:bookmarkStart w:id="71" w:name="Tc_5OPf3YaZMkegTqFXJYYGqw_9_0"/>
      <w:bookmarkStart w:id="72" w:name="Tc_m8AO8Wg81UKmpux94osd3A_8_0"/>
      <w:bookmarkStart w:id="73" w:name="Tc_YmXTs8KfC0y-1SDR5dkLjQ_7_0"/>
      <w:bookmarkStart w:id="74" w:name="Tc_S5zQddC2pU2FUfINFKgRPA_6_0"/>
      <w:bookmarkStart w:id="75" w:name="Tc_HwAIGwP6bEqa50YjLy-1pQ_5_5"/>
      <w:bookmarkStart w:id="76" w:name="Tc_rZZGwh60-0iDKmWjzTC1_w_5_2"/>
      <w:bookmarkStart w:id="77" w:name="Tc_LvjN4jz-JEK0-bQCqmLwQg_5_0"/>
      <w:bookmarkStart w:id="78" w:name="Tc_4y6ooh9hrUK7mNor1Au1vw_4_0"/>
      <w:bookmarkStart w:id="79" w:name="Tc_JEzcz-7mREash40FuFoRig_3_0"/>
      <w:bookmarkStart w:id="80" w:name="Tc_hzIKU9E6v0y4Z2lgW_-6tw_2_5"/>
      <w:bookmarkStart w:id="81" w:name="Tc_93lzDZ4fTU-cCxWzQxB8aA_2_2"/>
      <w:bookmarkStart w:id="82" w:name="Tc_6WXO9ZyqoEewj8O0xzgNnQ_1_2"/>
      <w:bookmarkStart w:id="83" w:name="_0f20c4bd_1bda_436a_b35d_b1abd714a2e4"/>
      <w:bookmarkStart w:id="84" w:name="Tc_8NBDxofnJ0CYn_elEsBKYg_30_5"/>
      <w:bookmarkStart w:id="85" w:name="Tc_IEhDFjkbUE-Sl3TXgMr9Hg_30_2"/>
      <w:bookmarkStart w:id="86" w:name="Tc_9KemEf7nfEuzKXQoMt8TBg_30_0"/>
      <w:bookmarkStart w:id="87" w:name="Tc_DiTSv1PcKUq1V-TsV-EtSA_29_0"/>
      <w:bookmarkStart w:id="88" w:name="Tc_dtBk-5n1F0S3UbncxEOthg_28_0"/>
      <w:bookmarkStart w:id="89" w:name="Tc_rKHWzkrIeUWgBS68xJGBQA_27_0"/>
      <w:bookmarkStart w:id="90" w:name="Tc_7M5qCjC07U675idT7MwVrQ_26_0"/>
      <w:bookmarkStart w:id="91" w:name="Tc_TDlPp35paUevrWUtf74HJQ_25_0"/>
      <w:bookmarkStart w:id="92" w:name="Tc_HNy-Dw3iMEigK33cKEZdnw_24_0"/>
      <w:bookmarkStart w:id="93" w:name="Tc_tBZl0FNU6024T6xQXX54Xw_23_0"/>
      <w:bookmarkStart w:id="94" w:name="Tc_EDmdERIqZESTe41FTc-tBA_22_0"/>
      <w:bookmarkStart w:id="95" w:name="Tc_M3eJP8H4kEKE881k7x7PMQ_21_0"/>
      <w:bookmarkStart w:id="96" w:name="Tc_HDE1aTHfIUOqtJsAKY_q6A_20_0"/>
      <w:bookmarkStart w:id="97" w:name="Tc_hr23YtFWR0q86khPJufWWA_19_0"/>
      <w:bookmarkStart w:id="98" w:name="Tc_qt53Rt1mrE2yaRaQg3_pXw_17_0"/>
      <w:bookmarkStart w:id="99" w:name="Tc_9KNSE3PVUEWaGYe_I3MjgQ_16_0"/>
      <w:bookmarkStart w:id="100" w:name="Tc__W-zRWkp5UCfycPe8cKP-w_15_0"/>
      <w:bookmarkStart w:id="101" w:name="Tc_mSc0r7RT50ydvv4Y97dakQ_14_5"/>
      <w:bookmarkStart w:id="102" w:name="Tc_8TB9Z3dAv0yd_6uU5EXvMw_14_2"/>
      <w:bookmarkStart w:id="103" w:name="Tc_lNT_-JGdXkuI5G8zc7Ks9A_14_0"/>
      <w:bookmarkStart w:id="104" w:name="Tc_oi_-LReT2kSl7_Sknzg8WQ_13_0"/>
      <w:bookmarkStart w:id="105" w:name="Tc_esbUkqGyCEWTo5_QrsQEuQ_12_0"/>
      <w:bookmarkStart w:id="106" w:name="Tc_zsVAMs5gGUC9rAsGE1rmUg_11_5"/>
      <w:bookmarkStart w:id="107" w:name="Tc_GUTBk_fuXE2FCVlYcLFHYQ_11_2"/>
      <w:bookmarkStart w:id="108" w:name="Tc_Rh51uSrkTEG8ynBQ8fwYhg_11_0"/>
      <w:bookmarkStart w:id="109" w:name="Tc_8kCwiWmvDUKgEWTNzjsHSA_10_0"/>
      <w:bookmarkStart w:id="110" w:name="Tc_5OPf3YaZMkegTqFXJYYGqw_9_0"/>
      <w:bookmarkStart w:id="111" w:name="Tc_m8AO8Wg81UKmpux94osd3A_8_0"/>
      <w:bookmarkStart w:id="112" w:name="Tc_YmXTs8KfC0y-1SDR5dkLjQ_7_0"/>
      <w:bookmarkStart w:id="113" w:name="Tc_S5zQddC2pU2FUfINFKgRPA_6_0"/>
      <w:bookmarkStart w:id="114" w:name="Tc_HwAIGwP6bEqa50YjLy-1pQ_5_5"/>
      <w:bookmarkStart w:id="115" w:name="Tc_rZZGwh60-0iDKmWjzTC1_w_5_2"/>
      <w:bookmarkStart w:id="116" w:name="Tc_LvjN4jz-JEK0-bQCqmLwQg_5_0"/>
      <w:bookmarkStart w:id="117" w:name="Tc_4y6ooh9hrUK7mNor1Au1vw_4_0"/>
      <w:bookmarkStart w:id="118" w:name="Tc_JEzcz-7mREash40FuFoRig_3_0"/>
      <w:bookmarkStart w:id="119" w:name="Tc_hzIKU9E6v0y4Z2lgW_-6tw_2_5"/>
      <w:bookmarkStart w:id="120" w:name="Tc_93lzDZ4fTU-cCxWzQxB8aA_2_2"/>
      <w:bookmarkStart w:id="121" w:name="Tc_6WXO9ZyqoEewj8O0xzgNnQ_1_2"/>
      <w:bookmarkStart w:id="122" w:name="_0f20c4bd_1bda_436a_b35d_b1abd714a2e4"/>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501"/>
        <w:gridCol w:w="109"/>
        <w:gridCol w:w="229"/>
        <w:gridCol w:w="941"/>
        <w:gridCol w:w="109"/>
        <w:gridCol w:w="246"/>
        <w:gridCol w:w="1070"/>
      </w:tblGrid>
      <w:tr>
        <w:trPr/>
        <w:tc>
          <w:tcPr>
            <w:tcW w:w="7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763135" cy="175260"/>
                      <wp:effectExtent l="0" t="0" r="0" b="0"/>
                      <wp:wrapNone/>
                      <wp:docPr id="18" name="Frame17"/>
                      <a:graphic xmlns:a="http://schemas.openxmlformats.org/drawingml/2006/main">
                        <a:graphicData uri="http://schemas.microsoft.com/office/word/2010/wordprocessingShape">
                          <wps:wsp>
                            <wps:cNvSpPr txBox="1"/>
                            <wps:spPr>
                              <a:xfrm>
                                <a:off x="0" y="0"/>
                                <a:ext cx="4763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5415" cy="175260"/>
                      <wp:effectExtent l="0" t="0" r="0" b="0"/>
                      <wp:wrapNone/>
                      <wp:docPr id="20" name="Frame1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7535" cy="175260"/>
                      <wp:effectExtent l="0" t="0" r="0" b="0"/>
                      <wp:wrapNone/>
                      <wp:docPr id="21" name="Frame20"/>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6210" cy="175260"/>
                      <wp:effectExtent l="0" t="0" r="0" b="0"/>
                      <wp:wrapNone/>
                      <wp:docPr id="23" name="Frame22"/>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79450" cy="175260"/>
                      <wp:effectExtent l="0" t="0" r="0" b="0"/>
                      <wp:wrapNone/>
                      <wp:docPr id="24" name="Frame23"/>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50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7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left"/>
              <w:rPr/>
            </w:pPr>
            <w:r>
              <w:rPr/>
              <w:t>​</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1070" w:type="dxa"/>
            <w:tcBorders/>
            <w:vAlign w:val="center"/>
          </w:tcPr>
          <w:p>
            <w:pPr>
              <w:pStyle w:val="TableContents"/>
              <w:bidi w:val="0"/>
              <w:spacing w:lineRule="auto" w:line="285" w:before="0" w:after="0"/>
              <w:ind w:left="0" w:right="0" w:hanging="0"/>
              <w:jc w:val="left"/>
              <w:rPr/>
            </w:pPr>
            <w:r>
              <w:rPr/>
              <w:t>​</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13,731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10,278</w:t>
            </w:r>
          </w:p>
        </w:tc>
      </w:tr>
      <w:tr>
        <w:trPr/>
        <w:tc>
          <w:tcPr>
            <w:tcW w:w="7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14,162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10,875</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7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14,388</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11,123</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1070" w:type="dxa"/>
            <w:tcBorders/>
            <w:vAlign w:val="center"/>
          </w:tcPr>
          <w:p>
            <w:pPr>
              <w:pStyle w:val="TableContents"/>
              <w:bidi w:val="0"/>
              <w:spacing w:lineRule="auto" w:line="285" w:before="0" w:after="0"/>
              <w:ind w:left="0" w:right="0" w:hanging="0"/>
              <w:jc w:val="left"/>
              <w:rPr/>
            </w:pPr>
            <w:r>
              <w:rPr/>
              <w:t>​</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left"/>
              <w:rPr/>
            </w:pPr>
            <w:r>
              <w:rPr/>
              <w:t>​</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1,007</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 accrued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payable</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3,012</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3,312</w:t>
            </w:r>
          </w:p>
        </w:tc>
      </w:tr>
      <w:tr>
        <w:trPr/>
        <w:tc>
          <w:tcPr>
            <w:tcW w:w="7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liability, short-term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5,192</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5,648</w:t>
            </w:r>
          </w:p>
        </w:tc>
      </w:tr>
      <w:tr>
        <w:trPr/>
        <w:tc>
          <w:tcPr>
            <w:tcW w:w="7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 liability, long-term</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7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5,790</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left"/>
              <w:rPr/>
            </w:pPr>
            <w:r>
              <w:rPr/>
              <w:t>​</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Stockholders’ equity </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1070" w:type="dxa"/>
            <w:tcBorders/>
            <w:vAlign w:val="center"/>
          </w:tcPr>
          <w:p>
            <w:pPr>
              <w:pStyle w:val="TableContents"/>
              <w:bidi w:val="0"/>
              <w:spacing w:lineRule="auto" w:line="285" w:before="0" w:after="0"/>
              <w:ind w:left="0" w:right="0" w:hanging="0"/>
              <w:jc w:val="left"/>
              <w:rPr/>
            </w:pPr>
            <w:r>
              <w:rPr/>
              <w:t>​</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$0.001 par value per share; 10,000,000 shares authorized and no shares issued or outstanding as of March 31, 2026 and December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1070" w:type="dxa"/>
            <w:tcBorders/>
            <w:shd w:fill="CCEEFF" w:val="clear"/>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5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per share, 100,000,000 shares authorized as of March 31, 2026 and December 31, 2025; 5,164,370 and 2,308,294 shares issued and outstanding as of March 31, 2026 and December 31, 2025, respectively</w:t>
            </w:r>
          </w:p>
        </w:tc>
        <w:tc>
          <w:tcPr>
            <w:tcW w:w="109" w:type="dxa"/>
            <w:tcBorders/>
            <w:vAlign w:val="center"/>
          </w:tcPr>
          <w:p>
            <w:pPr>
              <w:pStyle w:val="TableContents"/>
              <w:bidi w:val="0"/>
              <w:spacing w:lineRule="auto" w:line="285" w:before="0" w:after="0"/>
              <w:ind w:left="0" w:right="0" w:hanging="0"/>
              <w:jc w:val="left"/>
              <w:rPr/>
            </w:pPr>
            <w:r>
              <w:rPr/>
              <w:t>​</w:t>
            </w:r>
          </w:p>
        </w:tc>
        <w:tc>
          <w:tcPr>
            <w:tcW w:w="229" w:type="dxa"/>
            <w:tcBorders/>
            <w:vAlign w:val="center"/>
          </w:tcPr>
          <w:p>
            <w:pPr>
              <w:pStyle w:val="TableContents"/>
              <w:bidi w:val="0"/>
              <w:spacing w:lineRule="auto" w:line="285" w:before="0" w:after="0"/>
              <w:ind w:left="0" w:right="0" w:hanging="0"/>
              <w:jc w:val="left"/>
              <w:rPr/>
            </w:pPr>
            <w:r>
              <w:rPr/>
              <w:t> </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 </w:t>
            </w:r>
          </w:p>
        </w:tc>
        <w:tc>
          <w:tcPr>
            <w:tcW w:w="107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9" w:type="dxa"/>
            <w:tcBorders/>
            <w:shd w:fill="CCEEFF" w:val="clear"/>
            <w:vAlign w:val="center"/>
          </w:tcPr>
          <w:p>
            <w:pPr>
              <w:pStyle w:val="TableContents"/>
              <w:bidi w:val="0"/>
              <w:spacing w:lineRule="auto" w:line="285" w:before="0" w:after="0"/>
              <w:ind w:left="0" w:right="0" w:hanging="0"/>
              <w:jc w:val="left"/>
              <w:rPr/>
            </w:pPr>
            <w:r>
              <w:rPr/>
              <w:t> </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161,721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 </w:t>
            </w:r>
          </w:p>
        </w:tc>
        <w:tc>
          <w:tcPr>
            <w:tcW w:w="107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154,161</w:t>
            </w:r>
          </w:p>
        </w:tc>
      </w:tr>
      <w:tr>
        <w:trPr/>
        <w:tc>
          <w:tcPr>
            <w:tcW w:w="7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(152,653)</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(148,830)</w:t>
            </w:r>
          </w:p>
        </w:tc>
      </w:tr>
      <w:tr>
        <w:trPr/>
        <w:tc>
          <w:tcPr>
            <w:tcW w:w="7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stockholders’ equity </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9,073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5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liabilities and stockholders’ equity </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14,388</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11,123</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color w:val="0563C1"/>
          <w:sz w:val="20"/>
        </w:rPr>
        <w:t xml:space="preserve"> </w:t>
      </w:r>
    </w:p>
    <w:p>
      <w:pPr>
        <w:pStyle w:val="TextBody"/>
        <w:bidi w:val="0"/>
        <w:spacing w:lineRule="auto" w:line="285" w:before="0" w:after="0"/>
        <w:ind w:left="0" w:right="0" w:hanging="0"/>
        <w:jc w:val="center"/>
        <w:rPr>
          <w:rFonts w:ascii="Times New Roman;Times;serif" w:hAnsi="Times New Roman;Times;serif"/>
          <w:b/>
          <w:sz w:val="20"/>
        </w:rPr>
      </w:pPr>
      <w:bookmarkStart w:id="123" w:name="_25acf6c7_54dc_4736_9db5_6eed2bb1d201"/>
      <w:bookmarkEnd w:id="123"/>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124" w:name="ComprehensiveLoss_1868"/>
      <w:bookmarkEnd w:id="124"/>
      <w:r>
        <w:rPr>
          <w:rFonts w:ascii="Times New Roman;Times;serif" w:hAnsi="Times New Roman;Times;serif"/>
          <w:b/>
          <w:sz w:val="20"/>
        </w:rPr>
        <w:t>Condensed Consolidated Statements of Operations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and per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25" w:name="Tc_5SXJR22kY0WzP7LsW1_tCg_16_0"/>
      <w:bookmarkStart w:id="126" w:name="Tc_c7XjuhifkEmHiIkm2jmT1w_15_5"/>
      <w:bookmarkStart w:id="127" w:name="Tc_0VRxl94h506UbMFQwtGO8A_15_2"/>
      <w:bookmarkStart w:id="128" w:name="Tc_Oy6XDNM340mB0A0TdKEmWw_15_0"/>
      <w:bookmarkStart w:id="129" w:name="Tc_n_LJsZEC8UG78jVQzV18Ig_14_0"/>
      <w:bookmarkStart w:id="130" w:name="Tc_oh4qiaufaEqTUajj8KL1Pw_13_0"/>
      <w:bookmarkStart w:id="131" w:name="Tc_ZuYIsc_KG0SbgQnRi3xatg_12_0"/>
      <w:bookmarkStart w:id="132" w:name="Tc_o4okR5XsUE-FDA_L2sxgUg_11_0"/>
      <w:bookmarkStart w:id="133" w:name="Tc_wlJ2Ox_v10y8PcPFfvdz_Q_10_0"/>
      <w:bookmarkStart w:id="134" w:name="Tc_3e45OgF-j0OJqe4nUgAI7w_9_0"/>
      <w:bookmarkStart w:id="135" w:name="Tc_qNAzamtNgkyD9ou5wpCfgg_8_0"/>
      <w:bookmarkStart w:id="136" w:name="Tc_KgQS7VQ9T0WVqJmT-_fi2w_7_0"/>
      <w:bookmarkStart w:id="137" w:name="Tc_xW3-Cbv1v0egqkEO8fVpHQ_6_0"/>
      <w:bookmarkStart w:id="138" w:name="Tc_H3_BoGLbQUmiPue_xc0Lsw_5_0"/>
      <w:bookmarkStart w:id="139" w:name="Tc_M0p-fWbuPU6fUaWmjOQX4w_4_5"/>
      <w:bookmarkStart w:id="140" w:name="Tc_GhdxXodZ8UKjWAvd-oL-dQ_4_2"/>
      <w:bookmarkStart w:id="141" w:name="Tc_HBqGAVF37EmVXKYoNOyenw_4_0"/>
      <w:bookmarkStart w:id="142" w:name="Tc_CssXItTSiESfHN4lfIj1UQ_3_0"/>
      <w:bookmarkStart w:id="143" w:name="Tc_g_o-ggzeuEWRY_qAVrK_3A_2_5"/>
      <w:bookmarkStart w:id="144" w:name="Tc_P-7M41gQaUaK4VXeVbN24Q_2_2"/>
      <w:bookmarkStart w:id="145" w:name="Tc_0WZax__PdkSFsgfrjVQ1HA_1_2"/>
      <w:bookmarkStart w:id="146" w:name="_e5d66e2e_57c4_4ebd_83fd_f95fa72e8c8f"/>
      <w:bookmarkStart w:id="147" w:name="_083671e4_c62e_4305_b23c_c6bec4d9e8a0"/>
      <w:bookmarkStart w:id="148" w:name="Tc_5SXJR22kY0WzP7LsW1_tCg_16_0"/>
      <w:bookmarkStart w:id="149" w:name="Tc_c7XjuhifkEmHiIkm2jmT1w_15_5"/>
      <w:bookmarkStart w:id="150" w:name="Tc_0VRxl94h506UbMFQwtGO8A_15_2"/>
      <w:bookmarkStart w:id="151" w:name="Tc_Oy6XDNM340mB0A0TdKEmWw_15_0"/>
      <w:bookmarkStart w:id="152" w:name="Tc_n_LJsZEC8UG78jVQzV18Ig_14_0"/>
      <w:bookmarkStart w:id="153" w:name="Tc_oh4qiaufaEqTUajj8KL1Pw_13_0"/>
      <w:bookmarkStart w:id="154" w:name="Tc_ZuYIsc_KG0SbgQnRi3xatg_12_0"/>
      <w:bookmarkStart w:id="155" w:name="Tc_o4okR5XsUE-FDA_L2sxgUg_11_0"/>
      <w:bookmarkStart w:id="156" w:name="Tc_wlJ2Ox_v10y8PcPFfvdz_Q_10_0"/>
      <w:bookmarkStart w:id="157" w:name="Tc_3e45OgF-j0OJqe4nUgAI7w_9_0"/>
      <w:bookmarkStart w:id="158" w:name="Tc_qNAzamtNgkyD9ou5wpCfgg_8_0"/>
      <w:bookmarkStart w:id="159" w:name="Tc_KgQS7VQ9T0WVqJmT-_fi2w_7_0"/>
      <w:bookmarkStart w:id="160" w:name="Tc_xW3-Cbv1v0egqkEO8fVpHQ_6_0"/>
      <w:bookmarkStart w:id="161" w:name="Tc_H3_BoGLbQUmiPue_xc0Lsw_5_0"/>
      <w:bookmarkStart w:id="162" w:name="Tc_M0p-fWbuPU6fUaWmjOQX4w_4_5"/>
      <w:bookmarkStart w:id="163" w:name="Tc_GhdxXodZ8UKjWAvd-oL-dQ_4_2"/>
      <w:bookmarkStart w:id="164" w:name="Tc_HBqGAVF37EmVXKYoNOyenw_4_0"/>
      <w:bookmarkStart w:id="165" w:name="Tc_CssXItTSiESfHN4lfIj1UQ_3_0"/>
      <w:bookmarkStart w:id="166" w:name="Tc_g_o-ggzeuEWRY_qAVrK_3A_2_5"/>
      <w:bookmarkStart w:id="167" w:name="Tc_P-7M41gQaUaK4VXeVbN24Q_2_2"/>
      <w:bookmarkStart w:id="168" w:name="Tc_0WZax__PdkSFsgfrjVQ1HA_1_2"/>
      <w:bookmarkStart w:id="169" w:name="_e5d66e2e_57c4_4ebd_83fd_f95fa72e8c8f"/>
      <w:bookmarkStart w:id="170" w:name="_083671e4_c62e_4305_b23c_c6bec4d9e8a0"/>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8131" w:type="dxa"/>
        <w:jc w:val="left"/>
        <w:tblInd w:w="0" w:type="dxa"/>
        <w:tblLayout w:type="fixed"/>
        <w:tblCellMar>
          <w:top w:w="0" w:type="dxa"/>
          <w:left w:w="0" w:type="dxa"/>
          <w:bottom w:w="0" w:type="dxa"/>
          <w:right w:w="0" w:type="dxa"/>
        </w:tblCellMar>
      </w:tblPr>
      <w:tblGrid>
        <w:gridCol w:w="5056"/>
        <w:gridCol w:w="346"/>
        <w:gridCol w:w="222"/>
        <w:gridCol w:w="979"/>
        <w:gridCol w:w="364"/>
        <w:gridCol w:w="222"/>
        <w:gridCol w:w="942"/>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10560" cy="175260"/>
                      <wp:effectExtent l="0" t="0" r="0" b="0"/>
                      <wp:wrapNone/>
                      <wp:docPr id="25" name="Frame24"/>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0970" cy="175260"/>
                      <wp:effectExtent l="0" t="0" r="0" b="0"/>
                      <wp:wrapNone/>
                      <wp:docPr id="27" name="Frame2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21665" cy="175260"/>
                      <wp:effectExtent l="0" t="0" r="0" b="0"/>
                      <wp:wrapNone/>
                      <wp:docPr id="28" name="Frame2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1140" cy="175260"/>
                      <wp:effectExtent l="0" t="0" r="0" b="0"/>
                      <wp:wrapNone/>
                      <wp:docPr id="29" name="Frame28"/>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0970" cy="175260"/>
                      <wp:effectExtent l="0" t="0" r="0" b="0"/>
                      <wp:wrapNone/>
                      <wp:docPr id="30" name="Frame2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98170" cy="175260"/>
                      <wp:effectExtent l="0" t="0" r="0" b="0"/>
                      <wp:wrapNone/>
                      <wp:docPr id="31" name="Frame30"/>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6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79" w:type="dxa"/>
            <w:tcBorders/>
            <w:shd w:fill="CCEEFF" w:val="clear"/>
            <w:vAlign w:val="center"/>
          </w:tcPr>
          <w:p>
            <w:pPr>
              <w:pStyle w:val="TableContents"/>
              <w:bidi w:val="0"/>
              <w:spacing w:lineRule="auto" w:line="285" w:before="0" w:after="0"/>
              <w:ind w:left="0" w:right="0" w:hanging="0"/>
              <w:jc w:val="left"/>
              <w:rPr/>
            </w:pPr>
            <w:r>
              <w:rPr/>
              <w:t>​</w:t>
            </w:r>
          </w:p>
        </w:tc>
        <w:tc>
          <w:tcPr>
            <w:tcW w:w="364" w:type="dxa"/>
            <w:tcBorders/>
            <w:shd w:fill="CCEEFF" w:val="clear"/>
            <w:vAlign w:val="center"/>
          </w:tcPr>
          <w:p>
            <w:pPr>
              <w:pStyle w:val="TableContents"/>
              <w:bidi w:val="0"/>
              <w:spacing w:lineRule="auto" w:line="285" w:before="0" w:after="0"/>
              <w:ind w:left="0" w:right="0" w:hanging="0"/>
              <w:jc w:val="left"/>
              <w:rPr/>
            </w:pPr>
            <w:r>
              <w:rPr/>
              <w:t>  ​ ​ ​</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42" w:type="dxa"/>
            <w:tcBorders/>
            <w:shd w:fill="CCEEFF" w:val="clear"/>
            <w:vAlign w:val="center"/>
          </w:tcPr>
          <w:p>
            <w:pPr>
              <w:pStyle w:val="TableContents"/>
              <w:bidi w:val="0"/>
              <w:spacing w:lineRule="auto" w:line="285" w:before="0" w:after="0"/>
              <w:ind w:left="0" w:right="0" w:hanging="0"/>
              <w:jc w:val="left"/>
              <w:rPr/>
            </w:pPr>
            <w:r>
              <w:rPr/>
              <w:t>​</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364"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2,327</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1,559</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364"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79" w:type="dxa"/>
            <w:tcBorders/>
            <w:vAlign w:val="center"/>
          </w:tcPr>
          <w:p>
            <w:pPr>
              <w:pStyle w:val="TableContents"/>
              <w:bidi w:val="0"/>
              <w:spacing w:lineRule="auto" w:line="285" w:before="0" w:after="0"/>
              <w:ind w:left="0" w:right="0" w:hanging="0"/>
              <w:jc w:val="right"/>
              <w:rPr/>
            </w:pPr>
            <w:r>
              <w:rPr/>
              <w:t>​</w:t>
            </w:r>
          </w:p>
        </w:tc>
        <w:tc>
          <w:tcPr>
            <w:tcW w:w="364"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42"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64"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6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64"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4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50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(0.79)</w:t>
            </w:r>
          </w:p>
        </w:tc>
        <w:tc>
          <w:tcPr>
            <w:tcW w:w="3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4,859,567</w:t>
            </w:r>
          </w:p>
        </w:tc>
        <w:tc>
          <w:tcPr>
            <w:tcW w:w="36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2"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933,109</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71" w:name="_cf114b73_1000_4dbf_bba0_dcc210890a19"/>
      <w:bookmarkEnd w:id="171"/>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172" w:name="EquityDeficit_89715"/>
      <w:bookmarkStart w:id="173" w:name="Stockholders_238774"/>
      <w:bookmarkEnd w:id="172"/>
      <w:bookmarkEnd w:id="173"/>
      <w:r>
        <w:rPr>
          <w:rFonts w:ascii="Times New Roman;Times;serif" w:hAnsi="Times New Roman;Times;serif"/>
          <w:b/>
          <w:sz w:val="20"/>
        </w:rPr>
        <w:t>Condensed Consolidated Statements of Changes in Stockholders’ Equity</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 except share amounts)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74" w:name="Tc_3VDdph83hEa0SndynmRAmw_17_13"/>
      <w:bookmarkStart w:id="175" w:name="Tc_y9R8eARjwkGrvq7vHRzElA_17_10"/>
      <w:bookmarkStart w:id="176" w:name="Tc_MERSco4wSk6m6q_MTpC7LQ_17_7"/>
      <w:bookmarkStart w:id="177" w:name="Tc_Mw6uRSo7XkGmYfFF52rLrA_17_4"/>
      <w:bookmarkStart w:id="178" w:name="Tc_E3MhW15mh0GAY1B1-u_atQ_17_0"/>
      <w:bookmarkStart w:id="179" w:name="Tc_0uH-c2qEq0ulYeP4mtY51w_16_8"/>
      <w:bookmarkStart w:id="180" w:name="Tc_Rx3LdkNBr0aLsKn2NddaXQ_16_5"/>
      <w:bookmarkStart w:id="181" w:name="Tc_G-2r2zTi2UCIH_BFGmr_gg_16_2"/>
      <w:bookmarkStart w:id="182" w:name="Tc_jwyrOjZQIUuGVcvAOf-sXA_16_0"/>
      <w:bookmarkStart w:id="183" w:name="Tc_zAzH_VaZa0ySA8wZkwf2gQ_15_11"/>
      <w:bookmarkStart w:id="184" w:name="Tc_RQ9NPVo92Uu-0r4v26ziXA_15_5"/>
      <w:bookmarkStart w:id="185" w:name="Tc_me6xvEqrpE-e5eePssCTqA_15_2"/>
      <w:bookmarkStart w:id="186" w:name="Tc_4naGIBBq1keyD9as7XiUmw_15_0"/>
      <w:bookmarkStart w:id="187" w:name="Tc_Hl5MbKI8hEOVdKn6bcXJPg_14_14"/>
      <w:bookmarkStart w:id="188" w:name="Tc_evuBNPbcMEunXjL6GH5bPw_14_11"/>
      <w:bookmarkStart w:id="189" w:name="Tc_76_xO7VJ2UmmF37hmFeOOA_14_8"/>
      <w:bookmarkStart w:id="190" w:name="Tc_jObqh-4SLUmQ138aUGh7Og_14_5"/>
      <w:bookmarkStart w:id="191" w:name="Tc_1SiPd3U1IkOjzexBZIwqig_14_0"/>
      <w:bookmarkStart w:id="192" w:name="Tc_Sizb4NprHkCTJUNNmrs3Qg_13_11"/>
      <w:bookmarkStart w:id="193" w:name="Tc_uJHxiE6c3kqpOF-fbrt-pg_13_8"/>
      <w:bookmarkStart w:id="194" w:name="Tc_eHVi4tkvfkq0u1Z2lU2TRA_13_0"/>
      <w:bookmarkStart w:id="195" w:name="Tc_Tyw_ISgHjUW0DiGXuoitwQ_12_11"/>
      <w:bookmarkStart w:id="196" w:name="Tc_xIuiqBYN3Ua4p1X4DtyfHg_12_5"/>
      <w:bookmarkStart w:id="197" w:name="Tc_qmXI-T9OuUmdj0aKtbFt6w_12_0"/>
      <w:bookmarkStart w:id="198" w:name="Tc_hFLn4f9rnESfT2Qu4sNV8Q_11_11"/>
      <w:bookmarkStart w:id="199" w:name="Tc_UCMjUfaELU65J5i0ofx9Ow_11_0"/>
      <w:bookmarkStart w:id="200" w:name="Tc_3naP8OCg9kq3Ozaxqwkwcg_10_13"/>
      <w:bookmarkStart w:id="201" w:name="Tc_s_fOt3C1902YPt5ySESqcQ_10_10"/>
      <w:bookmarkStart w:id="202" w:name="Tc_JVsPv4Mwvky6ScLsw5TRgg_10_7"/>
      <w:bookmarkStart w:id="203" w:name="Tc_mCNBy2j2REegV2s9Ox07yA_10_4"/>
      <w:bookmarkStart w:id="204" w:name="Tc_5TTsxV35pkmWdI5ZJLmmPg_10_0"/>
      <w:bookmarkStart w:id="205" w:name="Tc_FKW78kYqCUWeF8vMJj7UZA_8_13"/>
      <w:bookmarkStart w:id="206" w:name="Tc_zvbDVszGREWQWa9YiqGguA_8_10"/>
      <w:bookmarkStart w:id="207" w:name="Tc_VhImrXKQSU64A1Ak0QqkKw_8_7"/>
      <w:bookmarkStart w:id="208" w:name="Tc_O8z7z79Xg0KL-uGXcLQNzA_8_4"/>
      <w:bookmarkStart w:id="209" w:name="Tc_64IV027-1U-05z6j3x5vmw_8_0"/>
      <w:bookmarkStart w:id="210" w:name="Tc_CeHFMz_te0OGhOagpDX5sg_7_8"/>
      <w:bookmarkStart w:id="211" w:name="Tc_nc6EgC1Pa0G4qvp6oXLyOw_7_5"/>
      <w:bookmarkStart w:id="212" w:name="Tc_uIQbJpR2YUSCN34-oQC9lQ_7_2"/>
      <w:bookmarkStart w:id="213" w:name="Tc_twEmi4tYqU6YxP_wbmOYKg_7_0"/>
      <w:bookmarkStart w:id="214" w:name="Tc_6W4IaFI9aUC6N4xFyUIhBA_6_11"/>
      <w:bookmarkStart w:id="215" w:name="Tc_1nD82ZAVG0KzEmRRGjXipA_6_5"/>
      <w:bookmarkStart w:id="216" w:name="Tc_WqxLUr-SN0S7FtpBe0Tc0Q_6_2"/>
      <w:bookmarkStart w:id="217" w:name="Tc_HYFgyJiRMEeMsQAYP8y4sg_6_0"/>
      <w:bookmarkStart w:id="218" w:name="Tc_aMVFjtsap0-V0gEnC8NfpA_5_11"/>
      <w:bookmarkStart w:id="219" w:name="Tc_5kjlDhjhgEiHw-D0hY4bYg_5_5"/>
      <w:bookmarkStart w:id="220" w:name="Tc_wDdSw1c7sUOWRlS9CNLXbw_5_0"/>
      <w:bookmarkStart w:id="221" w:name="Tc_UmtnbzCfM0C1GUFplCNvzQ_4_13"/>
      <w:bookmarkStart w:id="222" w:name="Tc_JgcxUQQDYkqmlgQp2YxMcw_4_10"/>
      <w:bookmarkStart w:id="223" w:name="Tc_aN4oosLlP0-9WJ-FVcx_nA_4_7"/>
      <w:bookmarkStart w:id="224" w:name="Tc_YsrlmQ7F2kK01K9Ec_82DA_4_4"/>
      <w:bookmarkStart w:id="225" w:name="Tc_smzQndn4xUikQbMB0RDE8g_4_0"/>
      <w:bookmarkStart w:id="226" w:name="Tc_oFvgXfQs_ESdiM2pqYNqww_3_13"/>
      <w:bookmarkStart w:id="227" w:name="Tc_NQ6Rq7TAIEaZ1SydpUaauw_3_10"/>
      <w:bookmarkStart w:id="228" w:name="Tc_jVaWSU9SSUaea2iZKOReKQ_3_7"/>
      <w:bookmarkStart w:id="229" w:name="Tc__3f5xYc520i9qiISfwEY7g_3_4"/>
      <w:bookmarkStart w:id="230" w:name="Tc_FPsVSF7uoUW2KMidUanu6w_3_2"/>
      <w:bookmarkStart w:id="231" w:name="Tc_CWETo6v1Wk6Bu0Fd4g6y1w_2_13"/>
      <w:bookmarkStart w:id="232" w:name="Tc_F5pqoBxyR0OGc-8ZK70inQ_2_10"/>
      <w:bookmarkStart w:id="233" w:name="Tc_nZ4XBirwxU6hs3nv2DrpSQ_2_7"/>
      <w:bookmarkStart w:id="234" w:name="Tc_-gex84Oh30e7VNalweIEVg_2_2"/>
      <w:bookmarkStart w:id="235" w:name="Tc_bZFEoTuUI0CI10AAgG-UKg_1_7"/>
      <w:bookmarkStart w:id="236" w:name="_7b008fc1_58d4_450a_8a58_bbe6b9ad2eae"/>
      <w:bookmarkStart w:id="237" w:name="Tc_3VDdph83hEa0SndynmRAmw_17_13"/>
      <w:bookmarkStart w:id="238" w:name="Tc_y9R8eARjwkGrvq7vHRzElA_17_10"/>
      <w:bookmarkStart w:id="239" w:name="Tc_MERSco4wSk6m6q_MTpC7LQ_17_7"/>
      <w:bookmarkStart w:id="240" w:name="Tc_Mw6uRSo7XkGmYfFF52rLrA_17_4"/>
      <w:bookmarkStart w:id="241" w:name="Tc_E3MhW15mh0GAY1B1-u_atQ_17_0"/>
      <w:bookmarkStart w:id="242" w:name="Tc_0uH-c2qEq0ulYeP4mtY51w_16_8"/>
      <w:bookmarkStart w:id="243" w:name="Tc_Rx3LdkNBr0aLsKn2NddaXQ_16_5"/>
      <w:bookmarkStart w:id="244" w:name="Tc_G-2r2zTi2UCIH_BFGmr_gg_16_2"/>
      <w:bookmarkStart w:id="245" w:name="Tc_jwyrOjZQIUuGVcvAOf-sXA_16_0"/>
      <w:bookmarkStart w:id="246" w:name="Tc_zAzH_VaZa0ySA8wZkwf2gQ_15_11"/>
      <w:bookmarkStart w:id="247" w:name="Tc_RQ9NPVo92Uu-0r4v26ziXA_15_5"/>
      <w:bookmarkStart w:id="248" w:name="Tc_me6xvEqrpE-e5eePssCTqA_15_2"/>
      <w:bookmarkStart w:id="249" w:name="Tc_4naGIBBq1keyD9as7XiUmw_15_0"/>
      <w:bookmarkStart w:id="250" w:name="Tc_Hl5MbKI8hEOVdKn6bcXJPg_14_14"/>
      <w:bookmarkStart w:id="251" w:name="Tc_evuBNPbcMEunXjL6GH5bPw_14_11"/>
      <w:bookmarkStart w:id="252" w:name="Tc_76_xO7VJ2UmmF37hmFeOOA_14_8"/>
      <w:bookmarkStart w:id="253" w:name="Tc_jObqh-4SLUmQ138aUGh7Og_14_5"/>
      <w:bookmarkStart w:id="254" w:name="Tc_1SiPd3U1IkOjzexBZIwqig_14_0"/>
      <w:bookmarkStart w:id="255" w:name="Tc_Sizb4NprHkCTJUNNmrs3Qg_13_11"/>
      <w:bookmarkStart w:id="256" w:name="Tc_uJHxiE6c3kqpOF-fbrt-pg_13_8"/>
      <w:bookmarkStart w:id="257" w:name="Tc_eHVi4tkvfkq0u1Z2lU2TRA_13_0"/>
      <w:bookmarkStart w:id="258" w:name="Tc_Tyw_ISgHjUW0DiGXuoitwQ_12_11"/>
      <w:bookmarkStart w:id="259" w:name="Tc_xIuiqBYN3Ua4p1X4DtyfHg_12_5"/>
      <w:bookmarkStart w:id="260" w:name="Tc_qmXI-T9OuUmdj0aKtbFt6w_12_0"/>
      <w:bookmarkStart w:id="261" w:name="Tc_hFLn4f9rnESfT2Qu4sNV8Q_11_11"/>
      <w:bookmarkStart w:id="262" w:name="Tc_UCMjUfaELU65J5i0ofx9Ow_11_0"/>
      <w:bookmarkStart w:id="263" w:name="Tc_3naP8OCg9kq3Ozaxqwkwcg_10_13"/>
      <w:bookmarkStart w:id="264" w:name="Tc_s_fOt3C1902YPt5ySESqcQ_10_10"/>
      <w:bookmarkStart w:id="265" w:name="Tc_JVsPv4Mwvky6ScLsw5TRgg_10_7"/>
      <w:bookmarkStart w:id="266" w:name="Tc_mCNBy2j2REegV2s9Ox07yA_10_4"/>
      <w:bookmarkStart w:id="267" w:name="Tc_5TTsxV35pkmWdI5ZJLmmPg_10_0"/>
      <w:bookmarkStart w:id="268" w:name="Tc_FKW78kYqCUWeF8vMJj7UZA_8_13"/>
      <w:bookmarkStart w:id="269" w:name="Tc_zvbDVszGREWQWa9YiqGguA_8_10"/>
      <w:bookmarkStart w:id="270" w:name="Tc_VhImrXKQSU64A1Ak0QqkKw_8_7"/>
      <w:bookmarkStart w:id="271" w:name="Tc_O8z7z79Xg0KL-uGXcLQNzA_8_4"/>
      <w:bookmarkStart w:id="272" w:name="Tc_64IV027-1U-05z6j3x5vmw_8_0"/>
      <w:bookmarkStart w:id="273" w:name="Tc_CeHFMz_te0OGhOagpDX5sg_7_8"/>
      <w:bookmarkStart w:id="274" w:name="Tc_nc6EgC1Pa0G4qvp6oXLyOw_7_5"/>
      <w:bookmarkStart w:id="275" w:name="Tc_uIQbJpR2YUSCN34-oQC9lQ_7_2"/>
      <w:bookmarkStart w:id="276" w:name="Tc_twEmi4tYqU6YxP_wbmOYKg_7_0"/>
      <w:bookmarkStart w:id="277" w:name="Tc_6W4IaFI9aUC6N4xFyUIhBA_6_11"/>
      <w:bookmarkStart w:id="278" w:name="Tc_1nD82ZAVG0KzEmRRGjXipA_6_5"/>
      <w:bookmarkStart w:id="279" w:name="Tc_WqxLUr-SN0S7FtpBe0Tc0Q_6_2"/>
      <w:bookmarkStart w:id="280" w:name="Tc_HYFgyJiRMEeMsQAYP8y4sg_6_0"/>
      <w:bookmarkStart w:id="281" w:name="Tc_aMVFjtsap0-V0gEnC8NfpA_5_11"/>
      <w:bookmarkStart w:id="282" w:name="Tc_5kjlDhjhgEiHw-D0hY4bYg_5_5"/>
      <w:bookmarkStart w:id="283" w:name="Tc_wDdSw1c7sUOWRlS9CNLXbw_5_0"/>
      <w:bookmarkStart w:id="284" w:name="Tc_UmtnbzCfM0C1GUFplCNvzQ_4_13"/>
      <w:bookmarkStart w:id="285" w:name="Tc_JgcxUQQDYkqmlgQp2YxMcw_4_10"/>
      <w:bookmarkStart w:id="286" w:name="Tc_aN4oosLlP0-9WJ-FVcx_nA_4_7"/>
      <w:bookmarkStart w:id="287" w:name="Tc_YsrlmQ7F2kK01K9Ec_82DA_4_4"/>
      <w:bookmarkStart w:id="288" w:name="Tc_smzQndn4xUikQbMB0RDE8g_4_0"/>
      <w:bookmarkStart w:id="289" w:name="Tc_oFvgXfQs_ESdiM2pqYNqww_3_13"/>
      <w:bookmarkStart w:id="290" w:name="Tc_NQ6Rq7TAIEaZ1SydpUaauw_3_10"/>
      <w:bookmarkStart w:id="291" w:name="Tc_jVaWSU9SSUaea2iZKOReKQ_3_7"/>
      <w:bookmarkStart w:id="292" w:name="Tc__3f5xYc520i9qiISfwEY7g_3_4"/>
      <w:bookmarkStart w:id="293" w:name="Tc_FPsVSF7uoUW2KMidUanu6w_3_2"/>
      <w:bookmarkStart w:id="294" w:name="Tc_CWETo6v1Wk6Bu0Fd4g6y1w_2_13"/>
      <w:bookmarkStart w:id="295" w:name="Tc_F5pqoBxyR0OGc-8ZK70inQ_2_10"/>
      <w:bookmarkStart w:id="296" w:name="Tc_nZ4XBirwxU6hs3nv2DrpSQ_2_7"/>
      <w:bookmarkStart w:id="297" w:name="Tc_-gex84Oh30e7VNalweIEVg_2_2"/>
      <w:bookmarkStart w:id="298" w:name="Tc_bZFEoTuUI0CI10AAgG-UKg_1_7"/>
      <w:bookmarkStart w:id="299" w:name="_7b008fc1_58d4_450a_8a58_bbe6b9ad2eae"/>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tbl>
      <w:tblPr>
        <w:tblW w:w="10205" w:type="dxa"/>
        <w:jc w:val="left"/>
        <w:tblInd w:w="0" w:type="dxa"/>
        <w:tblLayout w:type="fixed"/>
        <w:tblCellMar>
          <w:top w:w="0" w:type="dxa"/>
          <w:left w:w="0" w:type="dxa"/>
          <w:bottom w:w="0" w:type="dxa"/>
          <w:right w:w="0" w:type="dxa"/>
        </w:tblCellMar>
      </w:tblPr>
      <w:tblGrid>
        <w:gridCol w:w="3688"/>
        <w:gridCol w:w="346"/>
        <w:gridCol w:w="931"/>
        <w:gridCol w:w="346"/>
        <w:gridCol w:w="290"/>
        <w:gridCol w:w="476"/>
        <w:gridCol w:w="346"/>
        <w:gridCol w:w="211"/>
        <w:gridCol w:w="781"/>
        <w:gridCol w:w="346"/>
        <w:gridCol w:w="237"/>
        <w:gridCol w:w="949"/>
        <w:gridCol w:w="346"/>
        <w:gridCol w:w="211"/>
        <w:gridCol w:w="701"/>
      </w:tblGrid>
      <w:tr>
        <w:trPr/>
        <w:tc>
          <w:tcPr>
            <w:tcW w:w="3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41880" cy="175260"/>
                      <wp:effectExtent l="0" t="0" r="0" b="0"/>
                      <wp:wrapNone/>
                      <wp:docPr id="32" name="Frame31"/>
                      <a:graphic xmlns:a="http://schemas.openxmlformats.org/drawingml/2006/main">
                        <a:graphicData uri="http://schemas.microsoft.com/office/word/2010/wordprocessingShape">
                          <wps:wsp>
                            <wps:cNvSpPr txBox="1"/>
                            <wps:spPr>
                              <a:xfrm>
                                <a:off x="0" y="0"/>
                                <a:ext cx="23418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175260"/>
                      <wp:effectExtent l="0" t="0" r="0" b="0"/>
                      <wp:wrapNone/>
                      <wp:docPr id="34" name="Frame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4150" cy="175260"/>
                      <wp:effectExtent l="0" t="0" r="0" b="0"/>
                      <wp:wrapNone/>
                      <wp:docPr id="36" name="Frame35"/>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02260" cy="175260"/>
                      <wp:effectExtent l="0" t="0" r="0" b="0"/>
                      <wp:wrapNone/>
                      <wp:docPr id="37" name="Frame36"/>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5935" cy="175260"/>
                      <wp:effectExtent l="0" t="0" r="0" b="0"/>
                      <wp:wrapNone/>
                      <wp:docPr id="40"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0495" cy="175260"/>
                      <wp:effectExtent l="0" t="0" r="0" b="0"/>
                      <wp:wrapNone/>
                      <wp:docPr id="42" name="Frame4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02615" cy="175260"/>
                      <wp:effectExtent l="0" t="0" r="0" b="0"/>
                      <wp:wrapNone/>
                      <wp:docPr id="43" name="Frame42"/>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45135" cy="175260"/>
                      <wp:effectExtent l="0" t="0" r="0" b="0"/>
                      <wp:wrapNone/>
                      <wp:docPr id="46" name="Frame45"/>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8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90" w:type="dxa"/>
            <w:tcBorders/>
            <w:vAlign w:val="center"/>
          </w:tcPr>
          <w:p>
            <w:pPr>
              <w:pStyle w:val="TableContents"/>
              <w:bidi w:val="0"/>
              <w:spacing w:lineRule="auto" w:line="285" w:before="0" w:after="0"/>
              <w:ind w:left="0" w:right="0" w:hanging="0"/>
              <w:jc w:val="center"/>
              <w:rPr/>
            </w:pPr>
            <w:r>
              <w:rPr/>
              <w:t>​</w:t>
            </w:r>
          </w:p>
        </w:tc>
        <w:tc>
          <w:tcPr>
            <w:tcW w:w="4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Additional</w:t>
            </w:r>
          </w:p>
        </w:tc>
        <w:tc>
          <w:tcPr>
            <w:tcW w:w="346" w:type="dxa"/>
            <w:tcBorders/>
            <w:vAlign w:val="center"/>
          </w:tcPr>
          <w:p>
            <w:pPr>
              <w:pStyle w:val="TableContents"/>
              <w:bidi w:val="0"/>
              <w:spacing w:lineRule="auto" w:line="285" w:before="0" w:after="0"/>
              <w:ind w:left="0" w:right="0" w:hanging="0"/>
              <w:jc w:val="center"/>
              <w:rPr/>
            </w:pPr>
            <w:r>
              <w:rPr/>
              <w:t>​</w:t>
            </w:r>
          </w:p>
        </w:tc>
        <w:tc>
          <w:tcPr>
            <w:tcW w:w="237" w:type="dxa"/>
            <w:tcBorders/>
            <w:vAlign w:val="center"/>
          </w:tcPr>
          <w:p>
            <w:pPr>
              <w:pStyle w:val="TableContents"/>
              <w:bidi w:val="0"/>
              <w:spacing w:lineRule="auto" w:line="285" w:before="0" w:after="0"/>
              <w:ind w:left="0" w:right="0" w:hanging="0"/>
              <w:jc w:val="center"/>
              <w:rPr/>
            </w:pPr>
            <w:r>
              <w:rPr/>
              <w:t>​</w:t>
            </w:r>
          </w:p>
        </w:tc>
        <w:tc>
          <w:tcPr>
            <w:tcW w:w="94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912" w:type="dxa"/>
            <w:gridSpan w:val="2"/>
            <w:tcBorders/>
            <w:vAlign w:val="center"/>
          </w:tcPr>
          <w:p>
            <w:pPr>
              <w:pStyle w:val="TableContents"/>
              <w:bidi w:val="0"/>
              <w:spacing w:lineRule="auto" w:line="285" w:before="0" w:after="0"/>
              <w:ind w:left="0" w:right="0" w:hanging="0"/>
              <w:jc w:val="center"/>
              <w:rPr/>
            </w:pPr>
            <w:r>
              <w:rPr/>
              <w:t>​</w:t>
            </w:r>
          </w:p>
        </w:tc>
      </w:tr>
      <w:tr>
        <w:trPr/>
        <w:tc>
          <w:tcPr>
            <w:tcW w:w="368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043" w:type="dxa"/>
            <w:gridSpan w:val="4"/>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lineRule="auto" w:line="285" w:before="0" w:after="0"/>
              <w:ind w:left="0" w:right="0" w:hanging="0"/>
              <w:jc w:val="center"/>
              <w:rPr/>
            </w:pPr>
            <w:r>
              <w:rPr/>
              <w:t>​</w:t>
            </w:r>
          </w:p>
        </w:tc>
        <w:tc>
          <w:tcPr>
            <w:tcW w:w="992"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Paid-In</w:t>
            </w:r>
          </w:p>
        </w:tc>
        <w:tc>
          <w:tcPr>
            <w:tcW w:w="346" w:type="dxa"/>
            <w:tcBorders/>
            <w:vAlign w:val="center"/>
          </w:tcPr>
          <w:p>
            <w:pPr>
              <w:pStyle w:val="TableContents"/>
              <w:bidi w:val="0"/>
              <w:spacing w:lineRule="auto" w:line="285" w:before="0" w:after="0"/>
              <w:ind w:left="0" w:right="0" w:hanging="0"/>
              <w:jc w:val="center"/>
              <w:rPr/>
            </w:pPr>
            <w:r>
              <w:rPr/>
              <w:t>​</w:t>
            </w:r>
          </w:p>
        </w:tc>
        <w:tc>
          <w:tcPr>
            <w:tcW w:w="1186"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912" w:type="dxa"/>
            <w:gridSpan w:val="2"/>
            <w:tcBorders/>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6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Shares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766"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92"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Capital</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1186"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Deficit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pPr>
            <w:r>
              <w:rPr/>
              <w:t>  ​ ​ ​</w:t>
            </w:r>
          </w:p>
        </w:tc>
        <w:tc>
          <w:tcPr>
            <w:tcW w:w="912" w:type="dxa"/>
            <w:gridSpan w:val="2"/>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368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January 1, 2025</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785,194</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143,787</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(135,857)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7,931</w:t>
            </w:r>
          </w:p>
        </w:tc>
      </w:tr>
      <w:tr>
        <w:trPr/>
        <w:tc>
          <w:tcPr>
            <w:tcW w:w="3688"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stock for vested restricted stock units, net of shares withheld for withholding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68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688"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(3,671)</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3688"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March 31, 2025</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786,806</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143,907</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(139,528)</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4,380</w:t>
            </w:r>
          </w:p>
        </w:tc>
      </w:tr>
      <w:tr>
        <w:trPr/>
        <w:tc>
          <w:tcPr>
            <w:tcW w:w="368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1" w:type="dxa"/>
            <w:tcBorders/>
            <w:shd w:fill="CCEEFF" w:val="clear"/>
            <w:vAlign w:val="center"/>
          </w:tcPr>
          <w:p>
            <w:pPr>
              <w:pStyle w:val="TableContents"/>
              <w:bidi w:val="0"/>
              <w:spacing w:lineRule="auto" w:line="285" w:before="0" w:after="0"/>
              <w:ind w:left="0" w:right="0" w:hanging="0"/>
              <w:jc w:val="right"/>
              <w:rPr/>
            </w:pPr>
            <w:r>
              <w:rPr/>
              <w:t>​</w:t>
            </w:r>
          </w:p>
        </w:tc>
      </w:tr>
      <w:tr>
        <w:trPr/>
        <w:tc>
          <w:tcPr>
            <w:tcW w:w="368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January 1, 2026</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2,308,294</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154,161</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(148,830)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3688"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and common warrants from an underwritten public offering, net of issuance costs of $2,169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1,006,870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7,146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7,147</w:t>
            </w:r>
          </w:p>
        </w:tc>
      </w:tr>
      <w:tr>
        <w:trPr/>
        <w:tc>
          <w:tcPr>
            <w:tcW w:w="368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under an at the market offering agreement, net of issuance costs of $21</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216,625</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3688"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exercise of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1,630,964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688"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Issuance of common stock for vested restricted stock units, net of shares withheld for withholding taxes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vAlign w:val="center"/>
          </w:tcPr>
          <w:p>
            <w:pPr>
              <w:pStyle w:val="TableContents"/>
              <w:bidi w:val="0"/>
              <w:spacing w:lineRule="auto" w:line="285" w:before="0" w:after="0"/>
              <w:ind w:left="0" w:right="0" w:hanging="0"/>
              <w:jc w:val="left"/>
              <w:rPr/>
            </w:pPr>
            <w:r>
              <w:rPr/>
              <w:t>​</w:t>
            </w:r>
          </w:p>
        </w:tc>
        <w:tc>
          <w:tcPr>
            <w:tcW w:w="290" w:type="dxa"/>
            <w:tcBorders/>
            <w:vAlign w:val="center"/>
          </w:tcPr>
          <w:p>
            <w:pPr>
              <w:pStyle w:val="TableContents"/>
              <w:bidi w:val="0"/>
              <w:spacing w:lineRule="auto" w:line="285" w:before="0" w:after="0"/>
              <w:ind w:left="0" w:right="0" w:hanging="0"/>
              <w:jc w:val="left"/>
              <w:rPr/>
            </w:pPr>
            <w:r>
              <w:rPr/>
              <w:t>​</w:t>
            </w:r>
          </w:p>
        </w:tc>
        <w:tc>
          <w:tcPr>
            <w:tcW w:w="476"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949" w:type="dxa"/>
            <w:tcBorders/>
            <w:vAlign w:val="center"/>
          </w:tcPr>
          <w:p>
            <w:pPr>
              <w:pStyle w:val="TableContents"/>
              <w:bidi w:val="0"/>
              <w:spacing w:lineRule="auto" w:line="285" w:before="1"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01" w:type="dxa"/>
            <w:tcBorders/>
            <w:vAlign w:val="center"/>
          </w:tcPr>
          <w:p>
            <w:pPr>
              <w:pStyle w:val="TableContents"/>
              <w:bidi w:val="0"/>
              <w:spacing w:lineRule="auto" w:line="285" w:before="1" w:after="1"/>
              <w:ind w:left="0" w:right="0" w:hanging="0"/>
              <w:jc w:val="right"/>
              <w:rPr/>
            </w:pPr>
            <w:r>
              <w:rPr/>
              <w:t>—</w:t>
            </w:r>
          </w:p>
        </w:tc>
      </w:tr>
      <w:tr>
        <w:trPr/>
        <w:tc>
          <w:tcPr>
            <w:tcW w:w="3688"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0" w:type="dxa"/>
            <w:tcBorders/>
            <w:shd w:fill="CCEEFF" w:val="clear"/>
            <w:vAlign w:val="center"/>
          </w:tcPr>
          <w:p>
            <w:pPr>
              <w:pStyle w:val="TableContents"/>
              <w:bidi w:val="0"/>
              <w:spacing w:lineRule="auto" w:line="285" w:before="0" w:after="0"/>
              <w:ind w:left="0" w:right="0" w:hanging="0"/>
              <w:jc w:val="left"/>
              <w:rPr/>
            </w:pPr>
            <w:r>
              <w:rPr/>
              <w:t>​</w:t>
            </w:r>
          </w:p>
        </w:tc>
        <w:tc>
          <w:tcPr>
            <w:tcW w:w="476"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949" w:type="dxa"/>
            <w:tcBorders/>
            <w:shd w:fill="CCEEFF" w:val="clear"/>
            <w:vAlign w:val="center"/>
          </w:tcPr>
          <w:p>
            <w:pPr>
              <w:pStyle w:val="TableContents"/>
              <w:bidi w:val="0"/>
              <w:spacing w:lineRule="auto" w:line="285" w:before="1"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0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688"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(3,823)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(3,823)</w:t>
            </w:r>
          </w:p>
        </w:tc>
      </w:tr>
      <w:tr>
        <w:trPr/>
        <w:tc>
          <w:tcPr>
            <w:tcW w:w="3688"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As of March 31, 2026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5,164,370</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161,721</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(152,653)</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lineRule="auto" w:line="285" w:before="1" w:after="1"/>
              <w:ind w:left="0" w:right="70" w:hanging="0"/>
              <w:jc w:val="right"/>
              <w:rPr>
                <w:rFonts w:ascii="Times New Roman;Times;serif" w:hAnsi="Times New Roman;Times;serif"/>
                <w:sz w:val="20"/>
              </w:rPr>
            </w:pPr>
            <w:r>
              <w:rPr>
                <w:rFonts w:ascii="Times New Roman;Times;serif" w:hAnsi="Times New Roman;Times;serif"/>
                <w:sz w:val="20"/>
              </w:rPr>
              <w:t>9,073</w:t>
            </w:r>
          </w:p>
        </w:tc>
      </w:tr>
    </w:tbl>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100" w:after="10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00" w:name="_e248718a_2a57_4cc1_a791_80b438d91289"/>
      <w:bookmarkEnd w:id="300"/>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bookmarkStart w:id="301" w:name="CashFlows_19527"/>
      <w:bookmarkEnd w:id="301"/>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 - In thousands)</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02" w:name="Tc_nPqBSnH5B0q1EOxB4C-8qQ_28_5"/>
      <w:bookmarkStart w:id="303" w:name="Tc_LJFD1z0MIUSn89JggnFY6w_28_4"/>
      <w:bookmarkStart w:id="304" w:name="Tc_zkjs5ma9vUec-oEmeKy29A_28_1"/>
      <w:bookmarkStart w:id="305" w:name="Tc_kLWrDzGGx0K_L2uJSZ4Y_w_28_0"/>
      <w:bookmarkStart w:id="306" w:name="Tc_5siBdXyAmUyfAcXOllJBMw_27_0"/>
      <w:bookmarkStart w:id="307" w:name="Tc_PnBqkhCpHk-dLxto5OAmDQ_25_4"/>
      <w:bookmarkStart w:id="308" w:name="Tc_5H6lIyqndE6JVJfpK_X_Mg_25_1"/>
      <w:bookmarkStart w:id="309" w:name="Tc_MaiD2RTnskm68hDWJB7MnA_25_0"/>
      <w:bookmarkStart w:id="310" w:name="Tc_0qUP0lLRi0avvvirNVmdPQ_24_0"/>
      <w:bookmarkStart w:id="311" w:name="Tc_UhWy94307kqLO0mJjCkRIA_23_0"/>
      <w:bookmarkStart w:id="312" w:name="Tc_P5q1xIplIUWwWgIfnpT18Q_22_0"/>
      <w:bookmarkStart w:id="313" w:name="Tc_xO3cnZWEjkCOuo2Feje6-w_21_2"/>
      <w:bookmarkStart w:id="314" w:name="Tc_ZGVbOF1NnUiIJnZR14zu6Q_21_0"/>
      <w:bookmarkStart w:id="315" w:name="Tc_PqAKcMJK40qzR4ZoEFXslA_20_5"/>
      <w:bookmarkStart w:id="316" w:name="Tc_mGqiZjjRC0SdbhxZPj0K0g_20_0"/>
      <w:bookmarkStart w:id="317" w:name="Tc_mTs4Lv_pC0-jQF6XNOK99g_19_5"/>
      <w:bookmarkStart w:id="318" w:name="Tc_afUCiBPP50SFYa9Jg4CWgw_19_0"/>
      <w:bookmarkStart w:id="319" w:name="Tc_We6WfXCRNkOQ6qz7A3qG9Q_18_5"/>
      <w:bookmarkStart w:id="320" w:name="Tc_ECl_TcyOuUeL3r2XN4fJnA_18_0"/>
      <w:bookmarkStart w:id="321" w:name="Tc_-iNm7hUgpEu9X8HekCzPPw_17_5"/>
      <w:bookmarkStart w:id="322" w:name="Tc_k4LmCbftyEKlfuo5VDnQbQ_17_0"/>
      <w:bookmarkStart w:id="323" w:name="Tc_dDmR4Y41rEaViZL_G6C2Mg_16_5"/>
      <w:bookmarkStart w:id="324" w:name="Tc_EghoQSwURkiu1pNGP1xq6g_16_0"/>
      <w:bookmarkStart w:id="325" w:name="Tc_yHb0ZTHD302JF6pxYSTUFA_15_0"/>
      <w:bookmarkStart w:id="326" w:name="Tc_NQlk2c-Q2UmhLl4e5q-kzQ_14_0"/>
      <w:bookmarkStart w:id="327" w:name="Tc_JIySM7kaMESWnSYA3D4NDg_13_0"/>
      <w:bookmarkStart w:id="328" w:name="Tc_GuIiVhzt6UilmdnIZaYj3A_12_0"/>
      <w:bookmarkStart w:id="329" w:name="Tc__GPiv-gAC0et6JXtB4DnRg_11_0"/>
      <w:bookmarkStart w:id="330" w:name="Tc_1ekkedcnc0ebsyjked7IqA_10_0"/>
      <w:bookmarkStart w:id="331" w:name="Tc_vgnE_5SCSEWutUhSMGp5Kg_9_0"/>
      <w:bookmarkStart w:id="332" w:name="Tc_QiFIR6rphUqr9WKMEXnp6w_8_0"/>
      <w:bookmarkStart w:id="333" w:name="Tc_mg_5z9PEPEGA0SpYH3VELw_7_5"/>
      <w:bookmarkStart w:id="334" w:name="Tc_EyYsSVn3DUyoJTT7sxsMdA_7_0"/>
      <w:bookmarkStart w:id="335" w:name="Tc_FtpyusN7OEmMk-Z6Jd5JzA_6_0"/>
      <w:bookmarkStart w:id="336" w:name="Tc_0o2_lLw1aUahyOx39pXmYQ_5_0"/>
      <w:bookmarkStart w:id="337" w:name="Tc_zBITLysGL0Gd69Qe_jCUfA_4_4"/>
      <w:bookmarkStart w:id="338" w:name="Tc_0PIMhWPplEecLtwt-vPkhQ_4_1"/>
      <w:bookmarkStart w:id="339" w:name="Tc_-4oUEcLIKEe5VFq6WdnQ5w_4_0"/>
      <w:bookmarkStart w:id="340" w:name="Tc_20I8KV3YVUGqEttfUWXcEA_3_0"/>
      <w:bookmarkStart w:id="341" w:name="Tc_71C2mriIFkSNEUmNDazexA_2_4"/>
      <w:bookmarkStart w:id="342" w:name="Tc_YHn0qgnJrEG2zzlP_TJ8AQ_2_1"/>
      <w:bookmarkStart w:id="343" w:name="Tc_f084dWvZ60SKT7wpo2ywyw_1_1"/>
      <w:bookmarkStart w:id="344" w:name="_e3c8e9c1_77e4_49c2_a4a7_f43bf3e73504"/>
      <w:bookmarkStart w:id="345" w:name="Tc_nPqBSnH5B0q1EOxB4C-8qQ_28_5"/>
      <w:bookmarkStart w:id="346" w:name="Tc_LJFD1z0MIUSn89JggnFY6w_28_4"/>
      <w:bookmarkStart w:id="347" w:name="Tc_zkjs5ma9vUec-oEmeKy29A_28_1"/>
      <w:bookmarkStart w:id="348" w:name="Tc_kLWrDzGGx0K_L2uJSZ4Y_w_28_0"/>
      <w:bookmarkStart w:id="349" w:name="Tc_5siBdXyAmUyfAcXOllJBMw_27_0"/>
      <w:bookmarkStart w:id="350" w:name="Tc_PnBqkhCpHk-dLxto5OAmDQ_25_4"/>
      <w:bookmarkStart w:id="351" w:name="Tc_5H6lIyqndE6JVJfpK_X_Mg_25_1"/>
      <w:bookmarkStart w:id="352" w:name="Tc_MaiD2RTnskm68hDWJB7MnA_25_0"/>
      <w:bookmarkStart w:id="353" w:name="Tc_0qUP0lLRi0avvvirNVmdPQ_24_0"/>
      <w:bookmarkStart w:id="354" w:name="Tc_UhWy94307kqLO0mJjCkRIA_23_0"/>
      <w:bookmarkStart w:id="355" w:name="Tc_P5q1xIplIUWwWgIfnpT18Q_22_0"/>
      <w:bookmarkStart w:id="356" w:name="Tc_xO3cnZWEjkCOuo2Feje6-w_21_2"/>
      <w:bookmarkStart w:id="357" w:name="Tc_ZGVbOF1NnUiIJnZR14zu6Q_21_0"/>
      <w:bookmarkStart w:id="358" w:name="Tc_PqAKcMJK40qzR4ZoEFXslA_20_5"/>
      <w:bookmarkStart w:id="359" w:name="Tc_mGqiZjjRC0SdbhxZPj0K0g_20_0"/>
      <w:bookmarkStart w:id="360" w:name="Tc_mTs4Lv_pC0-jQF6XNOK99g_19_5"/>
      <w:bookmarkStart w:id="361" w:name="Tc_afUCiBPP50SFYa9Jg4CWgw_19_0"/>
      <w:bookmarkStart w:id="362" w:name="Tc_We6WfXCRNkOQ6qz7A3qG9Q_18_5"/>
      <w:bookmarkStart w:id="363" w:name="Tc_ECl_TcyOuUeL3r2XN4fJnA_18_0"/>
      <w:bookmarkStart w:id="364" w:name="Tc_-iNm7hUgpEu9X8HekCzPPw_17_5"/>
      <w:bookmarkStart w:id="365" w:name="Tc_k4LmCbftyEKlfuo5VDnQbQ_17_0"/>
      <w:bookmarkStart w:id="366" w:name="Tc_dDmR4Y41rEaViZL_G6C2Mg_16_5"/>
      <w:bookmarkStart w:id="367" w:name="Tc_EghoQSwURkiu1pNGP1xq6g_16_0"/>
      <w:bookmarkStart w:id="368" w:name="Tc_yHb0ZTHD302JF6pxYSTUFA_15_0"/>
      <w:bookmarkStart w:id="369" w:name="Tc_NQlk2c-Q2UmhLl4e5q-kzQ_14_0"/>
      <w:bookmarkStart w:id="370" w:name="Tc_JIySM7kaMESWnSYA3D4NDg_13_0"/>
      <w:bookmarkStart w:id="371" w:name="Tc_GuIiVhzt6UilmdnIZaYj3A_12_0"/>
      <w:bookmarkStart w:id="372" w:name="Tc__GPiv-gAC0et6JXtB4DnRg_11_0"/>
      <w:bookmarkStart w:id="373" w:name="Tc_1ekkedcnc0ebsyjked7IqA_10_0"/>
      <w:bookmarkStart w:id="374" w:name="Tc_vgnE_5SCSEWutUhSMGp5Kg_9_0"/>
      <w:bookmarkStart w:id="375" w:name="Tc_QiFIR6rphUqr9WKMEXnp6w_8_0"/>
      <w:bookmarkStart w:id="376" w:name="Tc_mg_5z9PEPEGA0SpYH3VELw_7_5"/>
      <w:bookmarkStart w:id="377" w:name="Tc_EyYsSVn3DUyoJTT7sxsMdA_7_0"/>
      <w:bookmarkStart w:id="378" w:name="Tc_FtpyusN7OEmMk-Z6Jd5JzA_6_0"/>
      <w:bookmarkStart w:id="379" w:name="Tc_0o2_lLw1aUahyOx39pXmYQ_5_0"/>
      <w:bookmarkStart w:id="380" w:name="Tc_zBITLysGL0Gd69Qe_jCUfA_4_4"/>
      <w:bookmarkStart w:id="381" w:name="Tc_0PIMhWPplEecLtwt-vPkhQ_4_1"/>
      <w:bookmarkStart w:id="382" w:name="Tc_-4oUEcLIKEe5VFq6WdnQ5w_4_0"/>
      <w:bookmarkStart w:id="383" w:name="Tc_20I8KV3YVUGqEttfUWXcEA_3_0"/>
      <w:bookmarkStart w:id="384" w:name="Tc_71C2mriIFkSNEUmNDazexA_2_4"/>
      <w:bookmarkStart w:id="385" w:name="Tc_YHn0qgnJrEG2zzlP_TJ8AQ_2_1"/>
      <w:bookmarkStart w:id="386" w:name="Tc_f084dWvZ60SKT7wpo2ywyw_1_1"/>
      <w:bookmarkStart w:id="387" w:name="_e3c8e9c1_77e4_49c2_a4a7_f43bf3e7350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tbl>
      <w:tblPr>
        <w:tblW w:w="10205" w:type="dxa"/>
        <w:jc w:val="left"/>
        <w:tblInd w:w="0" w:type="dxa"/>
        <w:tblLayout w:type="fixed"/>
        <w:tblCellMar>
          <w:top w:w="0" w:type="dxa"/>
          <w:left w:w="0" w:type="dxa"/>
          <w:bottom w:w="0" w:type="dxa"/>
          <w:right w:w="0" w:type="dxa"/>
        </w:tblCellMar>
      </w:tblPr>
      <w:tblGrid>
        <w:gridCol w:w="7691"/>
        <w:gridCol w:w="271"/>
        <w:gridCol w:w="885"/>
        <w:gridCol w:w="140"/>
        <w:gridCol w:w="271"/>
        <w:gridCol w:w="947"/>
      </w:tblGrid>
      <w:tr>
        <w:trPr/>
        <w:tc>
          <w:tcPr>
            <w:tcW w:w="7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883785" cy="175260"/>
                      <wp:effectExtent l="0" t="0" r="0" b="0"/>
                      <wp:wrapNone/>
                      <wp:docPr id="47" name="Frame46"/>
                      <a:graphic xmlns:a="http://schemas.openxmlformats.org/drawingml/2006/main">
                        <a:graphicData uri="http://schemas.microsoft.com/office/word/2010/wordprocessingShape">
                          <wps:wsp>
                            <wps:cNvSpPr txBox="1"/>
                            <wps:spPr>
                              <a:xfrm>
                                <a:off x="0" y="0"/>
                                <a:ext cx="4883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72085" cy="175260"/>
                      <wp:effectExtent l="0" t="0" r="0" b="0"/>
                      <wp:wrapNone/>
                      <wp:docPr id="48" name="Frame4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61975" cy="175260"/>
                      <wp:effectExtent l="0" t="0" r="0" b="0"/>
                      <wp:wrapNone/>
                      <wp:docPr id="49" name="Frame4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8900" cy="175260"/>
                      <wp:effectExtent l="0" t="0" r="0" b="0"/>
                      <wp:wrapNone/>
                      <wp:docPr id="50" name="Frame49"/>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2085" cy="175260"/>
                      <wp:effectExtent l="0" t="0" r="0" b="0"/>
                      <wp:wrapNone/>
                      <wp:docPr id="51" name="Frame5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01345" cy="175260"/>
                      <wp:effectExtent l="0" t="0" r="0" b="0"/>
                      <wp:wrapNone/>
                      <wp:docPr id="52" name="Frame51"/>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691" w:type="dxa"/>
            <w:tcBorders/>
            <w:vAlign w:val="center"/>
          </w:tcPr>
          <w:p>
            <w:pPr>
              <w:pStyle w:val="TableContents"/>
              <w:bidi w:val="0"/>
              <w:spacing w:lineRule="auto" w:line="285" w:before="0" w:after="0"/>
              <w:ind w:left="0" w:right="0" w:hanging="0"/>
              <w:jc w:val="center"/>
              <w:rPr/>
            </w:pPr>
            <w:r>
              <w:rPr/>
              <w:t>​</w:t>
            </w:r>
          </w:p>
        </w:tc>
        <w:tc>
          <w:tcPr>
            <w:tcW w:w="251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7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left"/>
              <w:rPr/>
            </w:pPr>
            <w:r>
              <w:rPr/>
              <w:t>​</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lef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left"/>
              <w:rPr/>
            </w:pPr>
            <w:r>
              <w:rPr/>
              <w:t>​</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lef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271" w:type="dxa"/>
            <w:tcBorders/>
            <w:vAlign w:val="center"/>
          </w:tcPr>
          <w:p>
            <w:pPr>
              <w:pStyle w:val="TableContents"/>
              <w:bidi w:val="0"/>
              <w:spacing w:lineRule="auto" w:line="285" w:before="0" w:after="0"/>
              <w:ind w:left="0" w:right="0" w:hanging="0"/>
              <w:jc w:val="left"/>
              <w:rPr/>
            </w:pPr>
            <w:r>
              <w:rPr/>
              <w:t> </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 </w:t>
            </w:r>
          </w:p>
        </w:tc>
        <w:tc>
          <w:tcPr>
            <w:tcW w:w="9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Non-cash lease charge</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righ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271" w:type="dxa"/>
            <w:tcBorders/>
            <w:vAlign w:val="center"/>
          </w:tcPr>
          <w:p>
            <w:pPr>
              <w:pStyle w:val="TableContents"/>
              <w:bidi w:val="0"/>
              <w:spacing w:lineRule="auto" w:line="285" w:before="0" w:after="0"/>
              <w:ind w:left="0" w:right="0" w:hanging="0"/>
              <w:jc w:val="left"/>
              <w:rPr/>
            </w:pPr>
            <w:r>
              <w:rPr/>
              <w:t> </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 </w:t>
            </w:r>
          </w:p>
        </w:tc>
        <w:tc>
          <w:tcPr>
            <w:tcW w:w="9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liabilities</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operating assets and liabilities</w:t>
            </w:r>
          </w:p>
        </w:tc>
        <w:tc>
          <w:tcPr>
            <w:tcW w:w="271" w:type="dxa"/>
            <w:tcBorders/>
            <w:vAlign w:val="center"/>
          </w:tcPr>
          <w:p>
            <w:pPr>
              <w:pStyle w:val="TableContents"/>
              <w:bidi w:val="0"/>
              <w:spacing w:lineRule="auto" w:line="285" w:before="0" w:after="0"/>
              <w:ind w:left="0" w:right="0" w:hanging="0"/>
              <w:jc w:val="left"/>
              <w:rPr/>
            </w:pPr>
            <w:r>
              <w:rPr/>
              <w:t>​</w:t>
            </w:r>
          </w:p>
        </w:tc>
        <w:tc>
          <w:tcPr>
            <w:tcW w:w="885" w:type="dxa"/>
            <w:tcBorders/>
            <w:vAlign w:val="center"/>
          </w:tcPr>
          <w:p>
            <w:pPr>
              <w:pStyle w:val="TableContents"/>
              <w:bidi w:val="0"/>
              <w:spacing w:lineRule="auto" w:line="285" w:before="0" w:after="0"/>
              <w:ind w:left="0" w:right="0" w:hanging="0"/>
              <w:jc w:val="left"/>
              <w:rPr/>
            </w:pPr>
            <w:r>
              <w:rPr/>
              <w:t>​</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947" w:type="dxa"/>
            <w:tcBorders/>
            <w:vAlign w:val="center"/>
          </w:tcPr>
          <w:p>
            <w:pPr>
              <w:pStyle w:val="TableContents"/>
              <w:bidi w:val="0"/>
              <w:spacing w:lineRule="auto" w:line="285" w:before="0" w:after="0"/>
              <w:ind w:left="0" w:right="0" w:hanging="0"/>
              <w:jc w:val="right"/>
              <w:rPr/>
            </w:pPr>
            <w:r>
              <w:rPr/>
              <w:t>​</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271" w:type="dxa"/>
            <w:tcBorders/>
            <w:shd w:fill="CCEEFF" w:val="clear"/>
            <w:vAlign w:val="center"/>
          </w:tcPr>
          <w:p>
            <w:pPr>
              <w:pStyle w:val="TableContents"/>
              <w:bidi w:val="0"/>
              <w:spacing w:lineRule="auto" w:line="285" w:before="0" w:after="0"/>
              <w:ind w:left="0" w:right="0" w:hanging="0"/>
              <w:jc w:val="left"/>
              <w:rPr/>
            </w:pPr>
            <w:r>
              <w:rPr/>
              <w:t> </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 </w:t>
            </w:r>
          </w:p>
        </w:tc>
        <w:tc>
          <w:tcPr>
            <w:tcW w:w="9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271" w:type="dxa"/>
            <w:tcBorders/>
            <w:vAlign w:val="center"/>
          </w:tcPr>
          <w:p>
            <w:pPr>
              <w:pStyle w:val="TableContents"/>
              <w:bidi w:val="0"/>
              <w:spacing w:lineRule="auto" w:line="285" w:before="0" w:after="0"/>
              <w:ind w:left="0" w:right="0" w:hanging="0"/>
              <w:jc w:val="left"/>
              <w:rPr/>
            </w:pPr>
            <w:r>
              <w:rPr/>
              <w:t> </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 </w:t>
            </w:r>
          </w:p>
        </w:tc>
        <w:tc>
          <w:tcPr>
            <w:tcW w:w="94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7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2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7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(4,258)</w:t>
            </w:r>
          </w:p>
        </w:tc>
        <w:tc>
          <w:tcPr>
            <w:tcW w:w="1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(4,815)</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left"/>
              <w:rPr/>
            </w:pPr>
            <w:r>
              <w:rPr/>
              <w:t>​</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lef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and warrants under an underwritten public offering</w:t>
            </w:r>
          </w:p>
        </w:tc>
        <w:tc>
          <w:tcPr>
            <w:tcW w:w="271" w:type="dxa"/>
            <w:tcBorders/>
            <w:vAlign w:val="center"/>
          </w:tcPr>
          <w:p>
            <w:pPr>
              <w:pStyle w:val="TableContents"/>
              <w:bidi w:val="0"/>
              <w:spacing w:lineRule="auto" w:line="285" w:before="0" w:after="0"/>
              <w:ind w:left="0" w:right="0" w:hanging="0"/>
              <w:jc w:val="left"/>
              <w:rPr/>
            </w:pPr>
            <w:r>
              <w:rPr/>
              <w:t>​</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947" w:type="dxa"/>
            <w:tcBorders/>
            <w:vAlign w:val="center"/>
          </w:tcPr>
          <w:p>
            <w:pPr>
              <w:pStyle w:val="TableContents"/>
              <w:bidi w:val="0"/>
              <w:spacing w:lineRule="auto" w:line="285" w:before="0" w:after="0"/>
              <w:ind w:left="0" w:right="0" w:hanging="0"/>
              <w:jc w:val="right"/>
              <w:rPr/>
            </w:pPr>
            <w:r>
              <w:rPr/>
              <w:t>—</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issuance costs in connection with the sale of common stock and warrants under an underwritten public offering</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righ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issuance of common stock under an at the market offering agreement</w:t>
            </w:r>
          </w:p>
        </w:tc>
        <w:tc>
          <w:tcPr>
            <w:tcW w:w="271" w:type="dxa"/>
            <w:tcBorders/>
            <w:vAlign w:val="center"/>
          </w:tcPr>
          <w:p>
            <w:pPr>
              <w:pStyle w:val="TableContents"/>
              <w:bidi w:val="0"/>
              <w:spacing w:lineRule="auto" w:line="285" w:before="0" w:after="0"/>
              <w:ind w:left="0" w:right="0" w:hanging="0"/>
              <w:jc w:val="left"/>
              <w:rPr/>
            </w:pPr>
            <w:r>
              <w:rPr/>
              <w:t>​</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947" w:type="dxa"/>
            <w:tcBorders/>
            <w:vAlign w:val="center"/>
          </w:tcPr>
          <w:p>
            <w:pPr>
              <w:pStyle w:val="TableContents"/>
              <w:bidi w:val="0"/>
              <w:spacing w:lineRule="auto" w:line="285" w:before="0" w:after="0"/>
              <w:ind w:left="0" w:right="0" w:hanging="0"/>
              <w:jc w:val="right"/>
              <w:rPr/>
            </w:pPr>
            <w:r>
              <w:rPr/>
              <w:t>—</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issuance costs in connection with the sale of common stock under an at the market offering agreement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w:t>
            </w:r>
          </w:p>
        </w:tc>
        <w:tc>
          <w:tcPr>
            <w:tcW w:w="947" w:type="dxa"/>
            <w:tcBorders/>
            <w:shd w:fill="CCEEFF" w:val="clear"/>
            <w:vAlign w:val="center"/>
          </w:tcPr>
          <w:p>
            <w:pPr>
              <w:pStyle w:val="TableContents"/>
              <w:bidi w:val="0"/>
              <w:spacing w:lineRule="auto" w:line="285" w:before="0" w:after="0"/>
              <w:ind w:left="0" w:right="0" w:hanging="0"/>
              <w:jc w:val="right"/>
              <w:rPr/>
            </w:pPr>
            <w:r>
              <w:rPr/>
              <w:t>—</w:t>
            </w:r>
          </w:p>
        </w:tc>
      </w:tr>
      <w:tr>
        <w:trPr/>
        <w:tc>
          <w:tcPr>
            <w:tcW w:w="76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271" w:type="dxa"/>
            <w:tcBorders/>
            <w:vAlign w:val="center"/>
          </w:tcPr>
          <w:p>
            <w:pPr>
              <w:pStyle w:val="TableContents"/>
              <w:bidi w:val="0"/>
              <w:spacing w:lineRule="auto" w:line="285" w:before="0" w:after="0"/>
              <w:ind w:left="0" w:right="0" w:hanging="0"/>
              <w:jc w:val="left"/>
              <w:rPr/>
            </w:pPr>
            <w:r>
              <w:rPr/>
              <w:t>​</w:t>
            </w:r>
          </w:p>
        </w:tc>
        <w:tc>
          <w:tcPr>
            <w:tcW w:w="88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0"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947" w:type="dxa"/>
            <w:tcBorders/>
            <w:vAlign w:val="center"/>
          </w:tcPr>
          <w:p>
            <w:pPr>
              <w:pStyle w:val="TableContents"/>
              <w:bidi w:val="0"/>
              <w:spacing w:lineRule="auto" w:line="285" w:before="0" w:after="0"/>
              <w:ind w:left="0" w:right="0" w:hanging="0"/>
              <w:jc w:val="right"/>
              <w:rPr/>
            </w:pPr>
            <w:r>
              <w:rPr/>
              <w:t>—</w:t>
            </w:r>
          </w:p>
        </w:tc>
      </w:tr>
      <w:tr>
        <w:trPr/>
        <w:tc>
          <w:tcPr>
            <w:tcW w:w="7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employee withholding taxes related to shares withheld from vested restricted stock units</w:t>
            </w:r>
          </w:p>
        </w:tc>
        <w:tc>
          <w:tcPr>
            <w:tcW w:w="2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7,711</w:t>
            </w:r>
          </w:p>
        </w:tc>
        <w:tc>
          <w:tcPr>
            <w:tcW w:w="1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271" w:type="dxa"/>
            <w:tcBorders/>
            <w:shd w:fill="CCEEFF" w:val="clear"/>
            <w:vAlign w:val="center"/>
          </w:tcPr>
          <w:p>
            <w:pPr>
              <w:pStyle w:val="TableContents"/>
              <w:bidi w:val="0"/>
              <w:spacing w:lineRule="auto" w:line="285" w:before="0" w:after="0"/>
              <w:ind w:left="0" w:right="0" w:hanging="0"/>
              <w:jc w:val="left"/>
              <w:rPr/>
            </w:pPr>
            <w:r>
              <w:rPr/>
              <w:t> </w:t>
            </w:r>
          </w:p>
        </w:tc>
        <w:tc>
          <w:tcPr>
            <w:tcW w:w="88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140" w:type="dxa"/>
            <w:tcBorders/>
            <w:shd w:fill="CCEEFF" w:val="clear"/>
            <w:vAlign w:val="center"/>
          </w:tcPr>
          <w:p>
            <w:pPr>
              <w:pStyle w:val="TableContents"/>
              <w:bidi w:val="0"/>
              <w:spacing w:lineRule="auto" w:line="285" w:before="0" w:after="0"/>
              <w:ind w:left="0" w:right="0" w:hanging="0"/>
              <w:jc w:val="left"/>
              <w:rPr/>
            </w:pPr>
            <w:r>
              <w:rPr/>
              <w:t>​</w:t>
            </w:r>
          </w:p>
        </w:tc>
        <w:tc>
          <w:tcPr>
            <w:tcW w:w="271" w:type="dxa"/>
            <w:tcBorders/>
            <w:shd w:fill="CCEEFF" w:val="clear"/>
            <w:vAlign w:val="center"/>
          </w:tcPr>
          <w:p>
            <w:pPr>
              <w:pStyle w:val="TableContents"/>
              <w:bidi w:val="0"/>
              <w:spacing w:lineRule="auto" w:line="285" w:before="0" w:after="0"/>
              <w:ind w:left="0" w:right="0" w:hanging="0"/>
              <w:jc w:val="left"/>
              <w:rPr/>
            </w:pPr>
            <w:r>
              <w:rPr/>
              <w:t> </w:t>
            </w:r>
          </w:p>
        </w:tc>
        <w:tc>
          <w:tcPr>
            <w:tcW w:w="94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(4,827)</w:t>
            </w:r>
          </w:p>
        </w:tc>
      </w:tr>
      <w:tr>
        <w:trPr/>
        <w:tc>
          <w:tcPr>
            <w:tcW w:w="76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10,278</w:t>
            </w:r>
          </w:p>
        </w:tc>
        <w:tc>
          <w:tcPr>
            <w:tcW w:w="1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16,017</w:t>
            </w:r>
          </w:p>
        </w:tc>
      </w:tr>
      <w:tr>
        <w:trPr/>
        <w:tc>
          <w:tcPr>
            <w:tcW w:w="7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2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13,731</w:t>
            </w:r>
          </w:p>
        </w:tc>
        <w:tc>
          <w:tcPr>
            <w:tcW w:w="1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11,190</w:t>
            </w:r>
          </w:p>
        </w:tc>
      </w:tr>
      <w:tr>
        <w:trPr/>
        <w:tc>
          <w:tcPr>
            <w:tcW w:w="7691"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885" w:type="dxa"/>
            <w:tcBorders/>
            <w:vAlign w:val="center"/>
          </w:tcPr>
          <w:p>
            <w:pPr>
              <w:pStyle w:val="TableContents"/>
              <w:bidi w:val="0"/>
              <w:spacing w:lineRule="auto" w:line="285" w:before="0" w:after="0"/>
              <w:ind w:left="0" w:right="0" w:hanging="0"/>
              <w:jc w:val="left"/>
              <w:rPr/>
            </w:pPr>
            <w:r>
              <w:rPr/>
              <w:t>​</w:t>
            </w:r>
          </w:p>
        </w:tc>
        <w:tc>
          <w:tcPr>
            <w:tcW w:w="140" w:type="dxa"/>
            <w:tcBorders/>
            <w:vAlign w:val="center"/>
          </w:tcPr>
          <w:p>
            <w:pPr>
              <w:pStyle w:val="TableContents"/>
              <w:bidi w:val="0"/>
              <w:spacing w:lineRule="auto" w:line="285" w:before="0" w:after="0"/>
              <w:ind w:left="0" w:right="0" w:hanging="0"/>
              <w:jc w:val="right"/>
              <w:rPr/>
            </w:pPr>
            <w:r>
              <w:rPr/>
              <w:t>​</w:t>
            </w:r>
          </w:p>
        </w:tc>
        <w:tc>
          <w:tcPr>
            <w:tcW w:w="271" w:type="dxa"/>
            <w:tcBorders/>
            <w:vAlign w:val="center"/>
          </w:tcPr>
          <w:p>
            <w:pPr>
              <w:pStyle w:val="TableContents"/>
              <w:bidi w:val="0"/>
              <w:spacing w:lineRule="auto" w:line="285" w:before="0" w:after="0"/>
              <w:ind w:left="0" w:right="0" w:hanging="0"/>
              <w:jc w:val="left"/>
              <w:rPr/>
            </w:pPr>
            <w:r>
              <w:rPr/>
              <w:t>​</w:t>
            </w:r>
          </w:p>
        </w:tc>
        <w:tc>
          <w:tcPr>
            <w:tcW w:w="947" w:type="dxa"/>
            <w:tcBorders/>
            <w:vAlign w:val="center"/>
          </w:tcPr>
          <w:p>
            <w:pPr>
              <w:pStyle w:val="TableContents"/>
              <w:bidi w:val="0"/>
              <w:spacing w:lineRule="auto" w:line="285" w:before="0" w:after="0"/>
              <w:ind w:left="0" w:right="0" w:hanging="0"/>
              <w:jc w:val="left"/>
              <w:rPr/>
            </w:pPr>
            <w:r>
              <w:rPr/>
              <w:t>​</w:t>
            </w:r>
          </w:p>
        </w:tc>
      </w:tr>
      <w:tr>
        <w:trPr/>
        <w:tc>
          <w:tcPr>
            <w:tcW w:w="76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Supplemental non-cash investing and financing transactions</w:t>
            </w:r>
          </w:p>
        </w:tc>
        <w:tc>
          <w:tcPr>
            <w:tcW w:w="271"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885"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140"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271"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c>
          <w:tcPr>
            <w:tcW w:w="947" w:type="dxa"/>
            <w:tcBorders/>
            <w:shd w:fill="CCEEFF" w:val="clear"/>
            <w:vAlign w:val="center"/>
          </w:tcPr>
          <w:p>
            <w:pPr>
              <w:pStyle w:val="TableContents"/>
              <w:bidi w:val="0"/>
              <w:spacing w:lineRule="auto" w:line="285" w:before="0" w:after="0"/>
              <w:ind w:left="0" w:right="0" w:hanging="0"/>
              <w:jc w:val="left"/>
              <w:rPr>
                <w:color w:val="212529"/>
              </w:rPr>
            </w:pPr>
            <w:r>
              <w:rPr>
                <w:color w:val="212529"/>
              </w:rPr>
              <w:t>​</w:t>
            </w:r>
          </w:p>
        </w:tc>
      </w:tr>
      <w:tr>
        <w:trPr/>
        <w:tc>
          <w:tcPr>
            <w:tcW w:w="769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Unpaid issuance costs</w:t>
            </w:r>
          </w:p>
        </w:tc>
        <w:tc>
          <w:tcPr>
            <w:tcW w:w="27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t>
            </w:r>
          </w:p>
        </w:tc>
        <w:tc>
          <w:tcPr>
            <w:tcW w:w="88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4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color w:val="212529"/>
              </w:rPr>
            </w:pPr>
            <w:r>
              <w:rPr>
                <w:color w:val="212529"/>
              </w:rPr>
              <w:t>​</w:t>
            </w:r>
          </w:p>
        </w:tc>
        <w:tc>
          <w:tcPr>
            <w:tcW w:w="27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color w:val="212529"/>
                <w:sz w:val="20"/>
              </w:rPr>
            </w:pPr>
            <w:r>
              <w:rPr>
                <w:rFonts w:ascii="Times New Roman;Times;serif" w:hAnsi="Times New Roman;Times;serif"/>
                <w:color w:val="212529"/>
                <w:sz w:val="20"/>
              </w:rPr>
              <w:t>$</w:t>
            </w:r>
          </w:p>
        </w:tc>
        <w:tc>
          <w:tcPr>
            <w:tcW w:w="947"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shd w:fill="FFFFFF" w:val="clear"/>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388" w:name="TheCompanyandBasisofPresentation_829357"/>
      <w:bookmarkEnd w:id="388"/>
      <w:r>
        <w:rPr>
          <w:rFonts w:ascii="Times New Roman;Times;serif" w:hAnsi="Times New Roman;Times;serif"/>
          <w:b/>
          <w:i w:val="false"/>
          <w:caps w:val="false"/>
          <w:smallCaps w:val="false"/>
          <w:sz w:val="20"/>
        </w:rPr>
        <w:t>1.</w:t>
      </w:r>
      <w:r>
        <w:rPr>
          <w:rFonts w:ascii="Times New Roman;Times;serif" w:hAnsi="Times New Roman;Times;serif"/>
          <w:b/>
          <w:sz w:val="20"/>
        </w:rPr>
        <w:t>Business, basis of presentation, new accounting standards and summary of significant accounting policies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General</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MetaVia Inc. (the “Company”), a Delaware corporation, and its subsidiaries are referred to collectively in these notes to the financial statements of the Company as “MetaVia,” “we,” “our” and “us.” We are a clinical-stage biotechnology company focused primarily on developing novel pharmaceuticals to treat cardiometabolic diseases. We have two programs, vanoglipel and DA-1726, focused primarily on the treatment of metabolic dysfunction-associated steatohepatitis (“MASH”) and obesity.</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While we focus our financial resources and management’s attention on the development of vanoglipel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July 2024, we entered into an exclusive out-license agreement with MThera Pharma Co., LTD. (“MThera”) to provide MThera with the rights to one of our legacy therapeutic programs, NB-01, for the treatment of painful diabetic neuropathy.</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operations consisted principally of performing research and development (“R&amp;D”) activities, which include preclinical development and clinical trials, and raising capital. Our activities are subject to significant risks and uncertainties, including failing to secure additional funding before sustainable revenues and profit from operations are achieved.</w:t>
      </w:r>
    </w:p>
    <w:p>
      <w:pPr>
        <w:pStyle w:val="TextBody"/>
        <w:bidi w:val="0"/>
        <w:spacing w:lineRule="auto" w:line="285" w:before="0" w:after="16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Going concern</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As reflected in the condensed consolidated financial statements, we had $13.7 million in cash and cash equivalents as of March 31, 2026. We have experienced net losses and negative cash flows from operating activities since our inception and had an accumulated deficit of $152.7 million as of March 31, 2026. We have incurred a net loss of $3.8 million and net cash used in operating activities of $4.3 million for the three months ended March 31, 2026. </w:t>
      </w:r>
      <w:r>
        <w:rPr>
          <w:rFonts w:ascii="Times New Roman;Times;serif" w:hAnsi="Times New Roman;Times;serif"/>
          <w:color w:val="212529"/>
          <w:sz w:val="20"/>
          <w:shd w:fill="FFFFFF" w:val="clear"/>
        </w:rPr>
        <w:t>Due in large part to ongoing clinical trials, we expect to continue to incur net losses and negative cash flows from operating activities for the foreseeable future. These conditions raise substantial doubt about our ability to continue as a going concern within one year from the issuance of these condensed consolidated financial statements.</w:t>
      </w:r>
    </w:p>
    <w:p>
      <w:pPr>
        <w:pStyle w:val="TextBody"/>
        <w:pBdr/>
        <w:shd w:fill="FFFFFF" w:val="clear"/>
        <w:bidi w:val="0"/>
        <w:spacing w:lineRule="auto" w:line="285"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We plan to continue to fund our operations through equity offerings, debt financing, the exercise of existing warrants, or other sources, potentially including collaborations, out-licensing and other similar arrangements. However, there can be no assurance that we will be able to obtain any sources of financing on acceptable terms, or at all, or that the warrants issued in previously consummated offerings will be exercised. To the extent that we can raise additional funds by issuing equity securities or in the event our existing warrants are exercised, our stockholders may experience significant dilution. Any debt financing, if available,</w:t>
      </w:r>
    </w:p>
    <w:p>
      <w:pPr>
        <w:pStyle w:val="TextBody"/>
        <w:shd w:fill="FFFFFF" w:val="clear"/>
        <w:bidi w:val="0"/>
        <w:spacing w:lineRule="auto" w:line="285" w:before="0" w:after="160"/>
        <w:ind w:left="0" w:right="0" w:hanging="0"/>
        <w:jc w:val="both"/>
        <w:rPr>
          <w:rFonts w:ascii="Times New Roman;Times;serif" w:hAnsi="Times New Roman;Times;serif"/>
          <w:color w:val="212529"/>
          <w:sz w:val="20"/>
        </w:rPr>
      </w:pPr>
      <w:r>
        <w:rPr>
          <w:rFonts w:ascii="Times New Roman;Times;serif" w:hAnsi="Times New Roman;Times;serif"/>
          <w:color w:val="212529"/>
          <w:sz w:val="20"/>
        </w:rPr>
        <w:t>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the Company.</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The determination as to whether we can continue as a going concern contemplates the realization of assets and the satisfaction of liabilities in the normal course of business. </w:t>
      </w:r>
      <w:r>
        <w:rPr>
          <w:rFonts w:ascii="Times New Roman;Times;serif" w:hAnsi="Times New Roman;Times;serif"/>
          <w:sz w:val="20"/>
        </w:rPr>
        <w:t>Our condensed consolidated financial statements </w:t>
      </w:r>
      <w:r>
        <w:rPr>
          <w:rFonts w:ascii="Times New Roman;Times;serif" w:hAnsi="Times New Roman;Times;serif"/>
          <w:sz w:val="20"/>
          <w:shd w:fill="FFFFFF" w:val="clear"/>
        </w:rPr>
        <w:t>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Basis of presentation</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prepared the condensed consolidated financial statements following the requirements of the United States (“U.S.”) Securities and Exchange Commission (“SEC”) for interim reporting. As permitted under those rules, certain notes or other financial information that are normally required by accounting principles generally accepted in the U.S. (“GAAP”) for complete financial statements can be condensed or omitted. However, except as disclosed herein, there has been no material change in the information disclosed in the notes included in our Annual Report on Form 10-K for the fiscal year ended December 31, 2025 (“2025 Form 10-K”).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Revenues, expenses, assets, liabilities, and equities can vary during each quarter of the year. Therefore, the results and trends in these condensed consolidated financial statements may not be representative of those for the full year. In our opinion, all adjustments necessary for a fair statement of the condensed consolidated financial statements, which are of a normal and recurring nature, have been made for the interim periods reported. The information included in the condensed consolidated financial statements should be read in conjunction with the audited consolidated financial statements and accompanying notes included in our 2025 Form 10-K. Certain amounts in the condensed consolidated financial statements and accompanying notes may not add up due to rounding, and all percentages have been calculated using unrounded amounts.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New accounting standards</w:t>
      </w:r>
    </w:p>
    <w:p>
      <w:pPr>
        <w:pStyle w:val="TextBody"/>
        <w:bidi w:val="0"/>
        <w:spacing w:lineRule="auto" w:line="285" w:before="0" w:after="160"/>
        <w:ind w:left="0" w:right="0" w:hanging="0"/>
        <w:jc w:val="both"/>
        <w:rPr>
          <w:rFonts w:ascii="revert-layer" w:hAnsi="revert-layer"/>
          <w:i/>
          <w:color w:val="212529"/>
          <w:sz w:val="20"/>
          <w:shd w:fill="FFFFFF" w:val="clear"/>
        </w:rPr>
      </w:pPr>
      <w:r>
        <w:rPr>
          <w:rFonts w:ascii="revert-layer" w:hAnsi="revert-layer"/>
          <w:i/>
          <w:color w:val="212529"/>
          <w:sz w:val="20"/>
          <w:shd w:fill="FFFFFF" w:val="clear"/>
        </w:rPr>
        <w:t>Adoption of new accounting standards</w:t>
      </w:r>
    </w:p>
    <w:p>
      <w:pPr>
        <w:pStyle w:val="TextBody"/>
        <w:bidi w:val="0"/>
        <w:spacing w:lineRule="auto" w:line="285" w:before="0" w:after="160"/>
        <w:ind w:left="0" w:right="0" w:hanging="0"/>
        <w:jc w:val="both"/>
        <w:rPr>
          <w:rFonts w:ascii="revert-layer" w:hAnsi="revert-layer"/>
          <w:color w:val="212529"/>
          <w:sz w:val="20"/>
          <w:shd w:fill="FFFFFF" w:val="clear"/>
        </w:rPr>
      </w:pPr>
      <w:r>
        <w:rPr>
          <w:rFonts w:ascii="revert-layer" w:hAnsi="revert-layer"/>
          <w:color w:val="212529"/>
          <w:sz w:val="20"/>
          <w:shd w:fill="FFFFFF" w:val="clear"/>
        </w:rPr>
        <w:t>New accounting standards or accounting standards updates were assessed and determined to be either not applicable or did not have a material impact on our consolidated financial statements or processes.</w:t>
      </w:r>
    </w:p>
    <w:p>
      <w:pPr>
        <w:pStyle w:val="TextBody"/>
        <w:bidi w:val="0"/>
        <w:spacing w:lineRule="auto" w:line="285" w:before="0" w:after="16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Accounting standards issued but not yet adopted</w:t>
      </w:r>
    </w:p>
    <w:p>
      <w:pPr>
        <w:pStyle w:val="TextBody"/>
        <w:bidi w:val="0"/>
        <w:spacing w:lineRule="auto" w:line="285" w:before="0" w:after="160"/>
        <w:ind w:left="0" w:right="0" w:hanging="0"/>
        <w:jc w:val="both"/>
        <w:rPr>
          <w:rFonts w:ascii="Times New Roman;Times;serif" w:hAnsi="Times New Roman;Times;serif"/>
          <w:color w:val="212529"/>
          <w:sz w:val="20"/>
        </w:rPr>
      </w:pPr>
      <w:r>
        <w:rPr>
          <w:rFonts w:ascii="Times New Roman;Times;serif" w:hAnsi="Times New Roman;Times;serif"/>
          <w:color w:val="212529"/>
          <w:sz w:val="20"/>
        </w:rPr>
        <w:t>In November 2024, the FASB issued ASU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the consolidated financial statements at interim and annual reporting periods. The amendments in this ASU do not change or remove current expense disclosure requirements; however, the amendments affect where such information appears in the notes to the consolidated financial statements because entities are required to include certain current disclosures in the same tabular format disclosure as the other disaggregation requirements in the amendments. In January 2025, the FASB issued ASU 2025-01, Income Statement-Reporting Comprehensive Income-Expense Disaggregation Disclosures (Subtopic 220-40): Clarifying the Effective Date. This ASU is effective for annual reporting periods beginning after December 15, 2026, and interim reporting periods within annual reporting period beginning after December 15, 2027. Early adoption is permitted. We continue to evaluate the impact of adopting this ASU to our notes to the consolidated financial statements and processes.</w:t>
      </w:r>
    </w:p>
    <w:p>
      <w:pPr>
        <w:pStyle w:val="TextBody"/>
        <w:bidi w:val="0"/>
        <w:spacing w:lineRule="auto" w:line="285" w:before="0" w:after="160"/>
        <w:ind w:left="0" w:right="0" w:hanging="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Other recently issued accounting standards not yet adopted by us are not expected, upon adoption, to have a material impact on our consolidated financial statements.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Estimates and assumptions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liabilities, expenses, and related disclosure of contingent assets and liabilities at the date of the condensed consolidated financial statements and the reported amounts of expenses during the reporting period. The most significant estimates in our condensed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Significant accounting policies</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 xml:space="preserve">Our significant accounting policies are described in “Note 1. Business, basis of presentation, new accounting standards and summary of significant accounting policies” in the audited consolidated financial statements and notes thereto for the year ended December 31, 2025, which is included in our 2025 Form 10-K. Except for the following disclosure, there have been no material changes to the Company’s significant accounting policies. </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Financial Instruments with Characteristics of Both Liabilities and Equity</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issued warrants either as a liability or equity in accordance with Accounting Standard Codification (“ASC”) 480-10, Accounting for Certain Financial Instruments with Characteristics of both Liabilities and Equity, and ASC 815-40,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Accounting for Derivative Financial Instruments Indexed to, and Potentially Settled in, a Company’s Own Stock. Under ASC 480-10, warrants are considered a liability if they are mandatorily redeemable and they require settlement in cash, other assets, or a variable number of shares. If warrants do not meet liability classification under ASC 480-10, we consider the requirements of ASC 815-40 to determine whether the warrants should be classified as a liability or as equity.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other expense, net in the consolidated statements of operations as a gain or loss. If warrants do not require liability classification under ASC 815-40, in order to conclude warrants should be classified as equity, we assess whether the warrants are indexed to its common stock and whether the warrants are classified as equity under ASC 815-40 or under another applicable GAAP standard. Equity-classified warrants are accounted for at fair value on the issuance date with no changes in fair value recognized after the issuance date.</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Reclassification of prior year presentation</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Certain prior year amounts have been reclassified for consistency with the current year presentation. Adjustments have been made to Note 8 to reclassify the presentation of certain general and administrative (“G&amp;A”) operating expenses related to employee compensation and benefits costs and other expenses. These reclassifications had no effect on the reported total G&amp;A operating expenses.  </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pPr>
      <w:r>
        <w:rPr/>
        <w:t>​</w:t>
      </w:r>
    </w:p>
    <w:p>
      <w:pPr>
        <w:pStyle w:val="TextBody"/>
        <w:bidi w:val="0"/>
        <w:spacing w:lineRule="auto" w:line="285" w:before="0" w:after="120"/>
        <w:ind w:left="0" w:right="0" w:hanging="0"/>
        <w:jc w:val="left"/>
        <w:rPr>
          <w:rFonts w:ascii="Times New Roman;Times;serif" w:hAnsi="Times New Roman;Times;serif"/>
          <w:sz w:val="20"/>
        </w:rPr>
      </w:pPr>
      <w:bookmarkStart w:id="389" w:name="Tc_2SMSikgaPkW_W6PPtwzPuw_7_5"/>
      <w:bookmarkStart w:id="390" w:name="Tc_8wRv-_mfVUSiQBorfADsqQ_7_2"/>
      <w:bookmarkStart w:id="391" w:name="Tc_3D_PcY3yTEiQtMW2yMv9xg_7_0"/>
      <w:bookmarkStart w:id="392" w:name="Tc_uKRalY1rsUWUKS-mqJSLpw_6_0"/>
      <w:bookmarkStart w:id="393" w:name="Tc_ls03JM2TpkyKJjBu2cAsrQ_5_3"/>
      <w:bookmarkStart w:id="394" w:name="Tc_-jjBremWFUCQKCC8iHXLcA_5_0"/>
      <w:bookmarkStart w:id="395" w:name="Tc_qu38fJTzF0OmZSdQlsgKjA_4_0"/>
      <w:bookmarkStart w:id="396" w:name="Tc_b4-zCBXJpkKBfJniD6kelg_3_5"/>
      <w:bookmarkStart w:id="397" w:name="Tc_fnrJ2w0riU2Cnqmf0-7Tlg_3_2"/>
      <w:bookmarkStart w:id="398" w:name="Tc_231Wj1BYSUyODy1deLuFcA_3_0"/>
      <w:bookmarkStart w:id="399" w:name="Tc_mazQmcgS7kabOpj3mroBHg_2_5"/>
      <w:bookmarkStart w:id="400" w:name="Tc_JyhUjSqQo06NKyn7bRJdFg_2_2"/>
      <w:bookmarkStart w:id="401" w:name="Tc_rBL8M5WziE-pvy98jn9eZg_1_2"/>
      <w:bookmarkStart w:id="402" w:name="_176dfc8a_6180_4512_83de_b76ec7d9e12b"/>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ascii="Times New Roman;Times;serif" w:hAnsi="Times New Roman;Times;serif"/>
          <w:b/>
          <w:i w:val="false"/>
          <w:caps w:val="false"/>
          <w:smallCaps w:val="false"/>
          <w:sz w:val="20"/>
        </w:rPr>
        <w:t xml:space="preserve">2. </w:t>
      </w:r>
      <w:r>
        <w:rPr>
          <w:rFonts w:ascii="Times New Roman;Times;serif" w:hAnsi="Times New Roman;Times;serif"/>
          <w:b/>
          <w:sz w:val="20"/>
        </w:rPr>
        <w:t>Prepaid expenses and other current assets</w:t>
      </w:r>
      <w:r>
        <w:rPr>
          <w:rFonts w:ascii="Times New Roman;Times;serif" w:hAnsi="Times New Roman;Times;serif"/>
          <w:sz w:val="20"/>
        </w:rPr>
        <w:t> </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tbl>
      <w:tblPr>
        <w:tblW w:w="5859" w:type="dxa"/>
        <w:jc w:val="left"/>
        <w:tblInd w:w="0" w:type="dxa"/>
        <w:tblLayout w:type="fixed"/>
        <w:tblCellMar>
          <w:top w:w="0" w:type="dxa"/>
          <w:left w:w="0" w:type="dxa"/>
          <w:bottom w:w="0" w:type="dxa"/>
          <w:right w:w="0" w:type="dxa"/>
        </w:tblCellMar>
      </w:tblPr>
      <w:tblGrid>
        <w:gridCol w:w="2521"/>
        <w:gridCol w:w="109"/>
        <w:gridCol w:w="466"/>
        <w:gridCol w:w="929"/>
        <w:gridCol w:w="109"/>
        <w:gridCol w:w="486"/>
        <w:gridCol w:w="1239"/>
      </w:tblGrid>
      <w:tr>
        <w:trPr/>
        <w:tc>
          <w:tcPr>
            <w:tcW w:w="252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95910" cy="175260"/>
                      <wp:effectExtent l="0" t="0" r="0" b="0"/>
                      <wp:wrapNone/>
                      <wp:docPr id="54" name="Frame5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89915" cy="175260"/>
                      <wp:effectExtent l="0" t="0" r="0" b="0"/>
                      <wp:wrapNone/>
                      <wp:docPr id="55" name="Frame54"/>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08610" cy="175260"/>
                      <wp:effectExtent l="0" t="0" r="0" b="0"/>
                      <wp:wrapNone/>
                      <wp:docPr id="57" name="Frame56"/>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86765" cy="175260"/>
                      <wp:effectExtent l="0" t="0" r="0" b="0"/>
                      <wp:wrapNone/>
                      <wp:docPr id="58" name="Frame57"/>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2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521"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Insurance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52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Deposits</w:t>
            </w:r>
          </w:p>
        </w:tc>
        <w:tc>
          <w:tcPr>
            <w:tcW w:w="109"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left"/>
              <w:rPr/>
            </w:pPr>
            <w:r>
              <w:rPr/>
              <w:t>​</w:t>
            </w:r>
          </w:p>
        </w:tc>
        <w:tc>
          <w:tcPr>
            <w:tcW w:w="123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521"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Deferred equity offering costs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66" w:type="dxa"/>
            <w:tcBorders/>
            <w:shd w:fill="CCEEFF" w:val="clear"/>
            <w:vAlign w:val="center"/>
          </w:tcPr>
          <w:p>
            <w:pPr>
              <w:pStyle w:val="TableContents"/>
              <w:bidi w:val="0"/>
              <w:spacing w:lineRule="auto" w:line="285" w:before="0" w:after="0"/>
              <w:ind w:left="0" w:right="0" w:hanging="0"/>
              <w:jc w:val="left"/>
              <w:rPr/>
            </w:pPr>
            <w:r>
              <w:rPr/>
              <w:t>​</w:t>
            </w:r>
          </w:p>
        </w:tc>
        <w:tc>
          <w:tcPr>
            <w:tcW w:w="92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pPr>
            <w:r>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252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Other prepaid expenses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23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5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597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Times New Roman;Times;serif" w:hAnsi="Times New Roman;Times;serif"/>
          <w:sz w:val="20"/>
        </w:rPr>
      </w:pPr>
      <w:bookmarkStart w:id="403" w:name="Tc_fFKGw8QnYkKtnFYLbFof-Q_5_5"/>
      <w:bookmarkStart w:id="404" w:name="Tc_GnMp_QPDTk2lnwx7Ab_AOw_5_2"/>
      <w:bookmarkStart w:id="405" w:name="Tc_fAXE1hJEMkOGK2AVSPSaXg_5_0"/>
      <w:bookmarkStart w:id="406" w:name="Tc_oCLxSBfS0UKewL7jDvG7jQ_4_0"/>
      <w:bookmarkStart w:id="407" w:name="Tc_FzLK9RcpSEaPZJRTWxd63A_3_5"/>
      <w:bookmarkStart w:id="408" w:name="Tc_tnFnvocw9kK6x5vuuWhaqw_3_2"/>
      <w:bookmarkStart w:id="409" w:name="Tc_HBpBCH4MmUOHgsxyQ6IIRw_3_0"/>
      <w:bookmarkStart w:id="410" w:name="Tc_grVTBFiguUKj8UJ_LyHtFQ_2_5"/>
      <w:bookmarkStart w:id="411" w:name="Tc_hbt1AMPtTUytepeovbfXog_2_2"/>
      <w:bookmarkStart w:id="412" w:name="Tc_z_gY1Cewd0yZOvQXNHhCVg_1_2"/>
      <w:bookmarkStart w:id="413" w:name="_459406d4_ba61_4ec9_aa25_6f4ef913264a"/>
      <w:bookmarkEnd w:id="403"/>
      <w:bookmarkEnd w:id="404"/>
      <w:bookmarkEnd w:id="405"/>
      <w:bookmarkEnd w:id="406"/>
      <w:bookmarkEnd w:id="407"/>
      <w:bookmarkEnd w:id="408"/>
      <w:bookmarkEnd w:id="409"/>
      <w:bookmarkEnd w:id="410"/>
      <w:bookmarkEnd w:id="411"/>
      <w:bookmarkEnd w:id="412"/>
      <w:bookmarkEnd w:id="413"/>
      <w:r>
        <w:rPr>
          <w:rFonts w:ascii="Times New Roman;Times;serif" w:hAnsi="Times New Roman;Times;serif"/>
          <w:b/>
          <w:i w:val="false"/>
          <w:caps w:val="false"/>
          <w:smallCaps w:val="false"/>
          <w:sz w:val="20"/>
        </w:rPr>
        <w:t xml:space="preserve">3. </w:t>
      </w:r>
      <w:r>
        <w:rPr>
          <w:rFonts w:ascii="Times New Roman;Times;serif" w:hAnsi="Times New Roman;Times;serif"/>
          <w:b/>
          <w:sz w:val="20"/>
        </w:rPr>
        <w:t>Property and equipment, net</w:t>
      </w:r>
    </w:p>
    <w:p>
      <w:pPr>
        <w:pStyle w:val="TextBody"/>
        <w:bidi w:val="0"/>
        <w:spacing w:lineRule="auto" w:line="285" w:before="0" w:after="12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net consist of the following </w:t>
      </w:r>
      <w:r>
        <w:rPr>
          <w:rFonts w:ascii="Times New Roman;Times;serif" w:hAnsi="Times New Roman;Times;serif"/>
          <w:sz w:val="20"/>
          <w:shd w:fill="FFFFFF" w:val="clear"/>
        </w:rPr>
        <w:t>(in thousands)</w:t>
      </w:r>
      <w:r>
        <w:rPr>
          <w:rFonts w:ascii="Times New Roman;Times;serif" w:hAnsi="Times New Roman;Times;serif"/>
          <w:sz w:val="20"/>
        </w:rPr>
        <w:t>:</w:t>
      </w:r>
    </w:p>
    <w:tbl>
      <w:tblPr>
        <w:tblW w:w="5964" w:type="dxa"/>
        <w:jc w:val="left"/>
        <w:tblInd w:w="0" w:type="dxa"/>
        <w:tblLayout w:type="fixed"/>
        <w:tblCellMar>
          <w:top w:w="0" w:type="dxa"/>
          <w:left w:w="0" w:type="dxa"/>
          <w:bottom w:w="0" w:type="dxa"/>
          <w:right w:w="0" w:type="dxa"/>
        </w:tblCellMar>
      </w:tblPr>
      <w:tblGrid>
        <w:gridCol w:w="2626"/>
        <w:gridCol w:w="109"/>
        <w:gridCol w:w="455"/>
        <w:gridCol w:w="940"/>
        <w:gridCol w:w="109"/>
        <w:gridCol w:w="565"/>
        <w:gridCol w:w="1160"/>
      </w:tblGrid>
      <w:tr>
        <w:trPr/>
        <w:tc>
          <w:tcPr>
            <w:tcW w:w="262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88925" cy="175260"/>
                      <wp:effectExtent l="0" t="0" r="0" b="0"/>
                      <wp:wrapNone/>
                      <wp:docPr id="60" name="Frame59"/>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96900" cy="175260"/>
                      <wp:effectExtent l="0" t="0" r="0" b="0"/>
                      <wp:wrapNone/>
                      <wp:docPr id="61" name="Frame60"/>
                      <a:graphic xmlns:a="http://schemas.openxmlformats.org/drawingml/2006/main">
                        <a:graphicData uri="http://schemas.microsoft.com/office/word/2010/wordprocessingShape">
                          <wps:wsp>
                            <wps:cNvSpPr txBox="1"/>
                            <wps:spPr>
                              <a:xfrm>
                                <a:off x="0" y="0"/>
                                <a:ext cx="596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58775" cy="175260"/>
                      <wp:effectExtent l="0" t="0" r="0" b="0"/>
                      <wp:wrapNone/>
                      <wp:docPr id="63" name="Frame62"/>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36600" cy="175260"/>
                      <wp:effectExtent l="0" t="0" r="0" b="0"/>
                      <wp:wrapNone/>
                      <wp:docPr id="64" name="Frame63"/>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2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6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626" w:type="dxa"/>
            <w:tcBorders/>
            <w:shd w:fill="CCEEFF" w:val="cle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Office equipment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5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262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6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26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net</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lineRule="auto" w:line="285" w:before="0" w:after="0"/>
        <w:ind w:left="0" w:right="0" w:hanging="0"/>
        <w:jc w:val="both"/>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We recorded depreciation expense of $5 thousand and $4 thousand for the three months ended March 31, 2026 and 2025, respectively, which was included in G&amp;A operating expenses in the accompanying condensed consolidated statements of operations.</w:t>
      </w:r>
    </w:p>
    <w:p>
      <w:pPr>
        <w:pStyle w:val="TextBody"/>
        <w:bidi w:val="0"/>
        <w:spacing w:lineRule="auto" w:line="285" w:before="0" w:after="0"/>
        <w:ind w:left="0" w:right="0" w:hanging="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20"/>
        <w:ind w:left="0" w:right="0" w:hanging="0"/>
        <w:jc w:val="left"/>
        <w:rPr>
          <w:rFonts w:ascii="Times New Roman;Times;serif" w:hAnsi="Times New Roman;Times;serif"/>
          <w:sz w:val="20"/>
        </w:rPr>
      </w:pPr>
      <w:bookmarkStart w:id="414" w:name="Tc_z7ZXhO5oCESv7O20_zeNfA_6_2"/>
      <w:bookmarkStart w:id="415" w:name="Tc_nqCIVKDl8UiwRbBpqQ92QA_6_0"/>
      <w:bookmarkStart w:id="416" w:name="Tc_JZGuCcBKREePPyfVNXtuzw_4_0"/>
      <w:bookmarkStart w:id="417" w:name="Tc_XHcPiAXms0uT5BWBwwD7nw_2_2"/>
      <w:bookmarkStart w:id="418" w:name="Tc_XTOf1iNOSUO6wlMKbs_HnQ_2_0"/>
      <w:bookmarkStart w:id="419" w:name="Tc_s58KMgmoC0eWrdQcq28AGQ_1_2"/>
      <w:bookmarkStart w:id="420" w:name="_71bb7584_b5b5_4928_bd80_cf49e800028c"/>
      <w:bookmarkStart w:id="421" w:name="Tc_E4gkDJotX06FvmaAwkHY4w_6_5"/>
      <w:bookmarkStart w:id="422" w:name="Tc_ys56ruNMaUimZYvY_JZtbA_6_2"/>
      <w:bookmarkStart w:id="423" w:name="Tc_nZJnMdJlBE6bcDyXsY-XOA_6_0"/>
      <w:bookmarkStart w:id="424" w:name="Tc_suQp6pQCwUiag6qtkwZitw_5_0"/>
      <w:bookmarkStart w:id="425" w:name="Tc_oms3RHQahEim6ZBdmFvo3g_4_0"/>
      <w:bookmarkStart w:id="426" w:name="Tc_B8TIbsJ_JkGYSdIv2kWaAA_3_5"/>
      <w:bookmarkStart w:id="427" w:name="Tc_G4ZN3VAmVUuBGz0gTDJDIA_3_2"/>
      <w:bookmarkStart w:id="428" w:name="Tc_0kAKMp_TNU6uIOpf-A5D7Q_3_0"/>
      <w:bookmarkStart w:id="429" w:name="Tc_tFOpU0VoMkS4BUY8tGgPCA_2_5"/>
      <w:bookmarkStart w:id="430" w:name="Tc_6g9BsD_NFUungCzfia0tVg_2_2"/>
      <w:bookmarkStart w:id="431" w:name="Tc_4yMlRkEKHkyju1A_33yulg_1_2"/>
      <w:bookmarkStart w:id="432" w:name="_d42de202_9c91_4fef_8a7d_1265ad8e0740"/>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Pr>
          <w:rFonts w:ascii="Times New Roman;Times;serif" w:hAnsi="Times New Roman;Times;serif"/>
          <w:b/>
          <w:i w:val="false"/>
          <w:caps w:val="false"/>
          <w:smallCaps w:val="false"/>
          <w:sz w:val="20"/>
        </w:rPr>
        <w:t xml:space="preserve">4. </w:t>
      </w:r>
      <w:r>
        <w:rPr>
          <w:rFonts w:ascii="Times New Roman;Times;serif" w:hAnsi="Times New Roman;Times;serif"/>
          <w:b/>
          <w:sz w:val="20"/>
        </w:rPr>
        <w:t>Current liabilities</w:t>
      </w:r>
    </w:p>
    <w:p>
      <w:pPr>
        <w:pStyle w:val="TextBody"/>
        <w:bidi w:val="0"/>
        <w:spacing w:lineRule="auto" w:line="285" w:before="0" w:after="120"/>
        <w:ind w:left="0" w:right="0" w:hanging="0"/>
        <w:jc w:val="left"/>
        <w:rPr>
          <w:rFonts w:ascii="Times New Roman;Times;serif" w:hAnsi="Times New Roman;Times;serif"/>
          <w:i/>
          <w:sz w:val="20"/>
        </w:rPr>
      </w:pPr>
      <w:r>
        <w:rPr>
          <w:rFonts w:ascii="Times New Roman;Times;serif" w:hAnsi="Times New Roman;Times;serif"/>
          <w:i/>
          <w:sz w:val="20"/>
        </w:rPr>
        <w:t>Accrued expenses and other current liabilities</w:t>
      </w:r>
    </w:p>
    <w:p>
      <w:pPr>
        <w:pStyle w:val="TextBody"/>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 xml:space="preserve">Accrued expenses and other current liabilities consist of the following </w:t>
      </w:r>
      <w:r>
        <w:rPr>
          <w:rFonts w:ascii="Times New Roman;Times;serif" w:hAnsi="Times New Roman;Times;serif"/>
          <w:sz w:val="20"/>
          <w:shd w:fill="FFFFFF" w:val="clear"/>
        </w:rPr>
        <w:t>(in thousands)</w:t>
      </w:r>
      <w:r>
        <w:rPr>
          <w:rFonts w:ascii="Times New Roman;Times;serif" w:hAnsi="Times New Roman;Times;serif"/>
          <w:sz w:val="20"/>
        </w:rPr>
        <w:t>:</w:t>
      </w:r>
    </w:p>
    <w:tbl>
      <w:tblPr>
        <w:tblW w:w="5424" w:type="dxa"/>
        <w:jc w:val="left"/>
        <w:tblInd w:w="0" w:type="dxa"/>
        <w:tblLayout w:type="fixed"/>
        <w:tblCellMar>
          <w:top w:w="0" w:type="dxa"/>
          <w:left w:w="0" w:type="dxa"/>
          <w:bottom w:w="0" w:type="dxa"/>
          <w:right w:w="0" w:type="dxa"/>
        </w:tblCellMar>
      </w:tblPr>
      <w:tblGrid>
        <w:gridCol w:w="2086"/>
        <w:gridCol w:w="109"/>
        <w:gridCol w:w="466"/>
        <w:gridCol w:w="929"/>
        <w:gridCol w:w="109"/>
        <w:gridCol w:w="486"/>
        <w:gridCol w:w="1239"/>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24610" cy="175260"/>
                      <wp:effectExtent l="0" t="0" r="0" b="0"/>
                      <wp:wrapNone/>
                      <wp:docPr id="65" name="Frame64"/>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5910" cy="175260"/>
                      <wp:effectExtent l="0" t="0" r="0" b="0"/>
                      <wp:wrapNone/>
                      <wp:docPr id="67" name="Frame6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89915" cy="175260"/>
                      <wp:effectExtent l="0" t="0" r="0" b="0"/>
                      <wp:wrapNone/>
                      <wp:docPr id="68" name="Frame67"/>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08610" cy="175260"/>
                      <wp:effectExtent l="0" t="0" r="0" b="0"/>
                      <wp:wrapNone/>
                      <wp:docPr id="70" name="Frame69"/>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786765" cy="175260"/>
                      <wp:effectExtent l="0" t="0" r="0" b="0"/>
                      <wp:wrapNone/>
                      <wp:docPr id="71" name="Frame70"/>
                      <a:graphic xmlns:a="http://schemas.openxmlformats.org/drawingml/2006/main">
                        <a:graphicData uri="http://schemas.microsoft.com/office/word/2010/wordprocessingShape">
                          <wps:wsp>
                            <wps:cNvSpPr txBox="1"/>
                            <wps:spPr>
                              <a:xfrm>
                                <a:off x="0" y="0"/>
                                <a:ext cx="786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2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w:t>
            </w:r>
          </w:p>
        </w:tc>
      </w:tr>
      <w:tr>
        <w:trPr/>
        <w:tc>
          <w:tcPr>
            <w:tcW w:w="208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December 31, 2025</w:t>
            </w:r>
          </w:p>
        </w:tc>
      </w:tr>
      <w:tr>
        <w:trPr/>
        <w:tc>
          <w:tcPr>
            <w:tcW w:w="20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related costs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20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Professional service fees</w:t>
            </w:r>
          </w:p>
        </w:tc>
        <w:tc>
          <w:tcPr>
            <w:tcW w:w="109"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92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lineRule="auto" w:line="285" w:before="0" w:after="0"/>
              <w:ind w:left="0" w:right="0" w:hanging="0"/>
              <w:jc w:val="left"/>
              <w:rPr/>
            </w:pPr>
            <w:r>
              <w:rPr/>
              <w:t>​</w:t>
            </w:r>
          </w:p>
        </w:tc>
        <w:tc>
          <w:tcPr>
            <w:tcW w:w="486" w:type="dxa"/>
            <w:tcBorders/>
            <w:vAlign w:val="center"/>
          </w:tcPr>
          <w:p>
            <w:pPr>
              <w:pStyle w:val="TableContents"/>
              <w:bidi w:val="0"/>
              <w:spacing w:lineRule="auto" w:line="285" w:before="0" w:after="0"/>
              <w:ind w:left="0" w:right="0" w:hanging="0"/>
              <w:jc w:val="left"/>
              <w:rPr/>
            </w:pPr>
            <w:r>
              <w:rPr/>
              <w:t>​</w:t>
            </w:r>
          </w:p>
        </w:tc>
        <w:tc>
          <w:tcPr>
            <w:tcW w:w="123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0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08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8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9"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993</w:t>
            </w:r>
          </w:p>
        </w:tc>
      </w:tr>
    </w:tbl>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Warrant liabilities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Changes to our warrant liabilities are summarized as follows (in thousands):</w:t>
      </w:r>
    </w:p>
    <w:tbl>
      <w:tblPr>
        <w:tblW w:w="5167" w:type="dxa"/>
        <w:jc w:val="left"/>
        <w:tblInd w:w="0" w:type="dxa"/>
        <w:tblLayout w:type="fixed"/>
        <w:tblCellMar>
          <w:top w:w="0" w:type="dxa"/>
          <w:left w:w="0" w:type="dxa"/>
          <w:bottom w:w="0" w:type="dxa"/>
          <w:right w:w="0" w:type="dxa"/>
        </w:tblCellMar>
      </w:tblPr>
      <w:tblGrid>
        <w:gridCol w:w="4261"/>
        <w:gridCol w:w="109"/>
        <w:gridCol w:w="211"/>
        <w:gridCol w:w="58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705735" cy="175260"/>
                      <wp:effectExtent l="0" t="0" r="0" b="0"/>
                      <wp:wrapNone/>
                      <wp:docPr id="72" name="Frame7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72110" cy="175260"/>
                      <wp:effectExtent l="0" t="0" r="0" b="0"/>
                      <wp:wrapNone/>
                      <wp:docPr id="75" name="Frame7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2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January 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change in fair value of warrant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42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December 31, 2025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42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change in fair value of warrant liabilities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2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March 31, 2026</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lineRule="auto" w:line="285" w:before="0" w:after="0"/>
        <w:ind w:left="0" w:right="0" w:hanging="0"/>
        <w:jc w:val="left"/>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Our warrant liabilities relate to the 2022 Series B warrants, which were issued in November 2022. These warrants are considered to be derivative instruments; accordingly, we recorded their estimated fair value as warrant liabilities. We estimated the fair value of these warrants using the trading market price of our common stock due to a cashless exercise provision of these warrants whereby eight warrants can be exercised for one share of common stock for no additional consideration, which results in an effective per warrant exercise price of zero.</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0"/>
        </w:rPr>
      </w:pPr>
      <w:bookmarkStart w:id="433" w:name="_cfccbd52_6b5a_4a99_a246_ed3205be2366_3"/>
      <w:bookmarkStart w:id="434" w:name="_cfccbd52_6b5a_4a99_a246_ed3205be2366_2"/>
      <w:bookmarkStart w:id="435" w:name="_cfccbd52_6b5a_4a99_a246_ed3205be2366"/>
      <w:bookmarkStart w:id="436" w:name="_976bd6dd_25c9_4063_956c_2ccb8573f4fe_3"/>
      <w:bookmarkStart w:id="437" w:name="_976bd6dd_25c9_4063_956c_2ccb8573f4fe_2"/>
      <w:bookmarkStart w:id="438" w:name="_976bd6dd_25c9_4063_956c_2ccb8573f4fe"/>
      <w:bookmarkEnd w:id="433"/>
      <w:bookmarkEnd w:id="434"/>
      <w:bookmarkEnd w:id="435"/>
      <w:bookmarkEnd w:id="436"/>
      <w:bookmarkEnd w:id="437"/>
      <w:bookmarkEnd w:id="438"/>
      <w:r>
        <w:rPr>
          <w:rFonts w:ascii="Times New Roman;Times;serif" w:hAnsi="Times New Roman;Times;serif"/>
          <w:b/>
          <w:i w:val="false"/>
          <w:caps w:val="false"/>
          <w:smallCaps w:val="false"/>
          <w:sz w:val="20"/>
        </w:rPr>
        <w:t>5.</w:t>
      </w:r>
      <w:r>
        <w:rPr>
          <w:rFonts w:ascii="Times New Roman;Times;serif" w:hAnsi="Times New Roman;Times;serif"/>
          <w:b/>
          <w:sz w:val="20"/>
        </w:rPr>
        <w:t>Related party</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We entered into a license agreement with Dong-A ST Co., Ltd. (“Dong-A ST”) pursuant to which we received an exclusive global license (except for the territory of the Republic of Korea) for two proprietary compounds for specified indications (the “2022 License Agreement”) upon meeting certain financing milestones. The 2022 License Agreement covers the rights to vanoglipel for treatment of MASH and DA-1726 for treatment of obesity and MASH. The 2022 License Agreement also provides that we may develop vanoglipel for the treatment of </w:t>
      </w:r>
      <w:r>
        <w:rPr>
          <w:rFonts w:ascii="Times New Roman;Times;serif" w:hAnsi="Times New Roman;Times;serif"/>
          <w:spacing w:val="4"/>
          <w:sz w:val="20"/>
        </w:rPr>
        <w:t>type 2 diabetes mellitus</w:t>
      </w:r>
      <w:r>
        <w:rPr>
          <w:rFonts w:ascii="Times New Roman;Times;serif" w:hAnsi="Times New Roman;Times;serif"/>
          <w:sz w:val="20"/>
        </w:rPr>
        <w: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2022 License Agreement, we entered into a shared services agreement with Dong-A ST (the “Shared Services Agreement”), relating to vanoglipel and DA-1726, pursuant to which Dong-A ST may provide technical support, preclinical development, and clinical trial support services on terms and conditions acceptable to both parties. In addition, the Shared Services Agreement provides that Dong-A ST will manufacture all of our clinical requirements of vanoglipel and DA-1726 under the terms provided in the Shared Services Agreement.</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We incurred R&amp;D expenses of $0.7 million and $1.1 million for the three months ended March 31, 2026 and 2025, respectively, under the Shared Services Agreement, which are included in operating expenses: research and development in the accompanying condensed consolidated statements of op</w:t>
      </w:r>
      <w:r>
        <w:rPr>
          <w:rFonts w:ascii="Times New Roman;Times;serif" w:hAnsi="Times New Roman;Times;serif"/>
          <w:sz w:val="20"/>
        </w:rPr>
        <w:t xml:space="preserve">erations. The </w:t>
      </w:r>
      <w:r>
        <w:rPr>
          <w:rFonts w:ascii="Times New Roman;Times;serif" w:hAnsi="Times New Roman;Times;serif"/>
          <w:sz w:val="20"/>
          <w:shd w:fill="FFFFFF" w:val="clear"/>
        </w:rPr>
        <w:t xml:space="preserve">aggregate amount payable to Dong-A ST was $3.0 million and $3.3 million as of March 31, 2026 and December 31, 2025, respectively, under the Shared Services Agreement, which are included in related party payable in the accompanying condensed consolidated balance sheets. Of the total amount payable to Dong-A ST as of March 31, 2026 (i) $2.0 million is payable in accordance with an invoice with extended terms in which approximately $0.7 million was paid in April 2026 and approximately $0.7 million is due on June 30, 2026 and </w:t>
      </w:r>
      <w:r>
        <w:rPr>
          <w:rFonts w:ascii="Times New Roman;Times;serif" w:hAnsi="Times New Roman;Times;serif"/>
          <w:b w:val="false"/>
          <w:i w:val="false"/>
          <w:caps w:val="false"/>
          <w:smallCaps w:val="false"/>
          <w:sz w:val="20"/>
          <w:shd w:fill="FFFFFF" w:val="clear"/>
        </w:rPr>
        <w:t>September 30, 2026</w:t>
      </w:r>
      <w:r>
        <w:rPr>
          <w:rFonts w:ascii="Times New Roman;Times;serif" w:hAnsi="Times New Roman;Times;serif"/>
          <w:sz w:val="20"/>
          <w:shd w:fill="FFFFFF" w:val="clear"/>
        </w:rPr>
        <w:t>, (ii) $52 thousand is payable in accrued interest based on a fixed interest rate of 4.6% per annum, and (iii) $1.0 million is payable in clinical trial accrued liabilities.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the 2022 License Agreement, the Shared Services Agreement and other agreements with Dong-A ST, refer to “Note 5. Related party” in the audited consolidated financial statements and notes thereto for the year ended December 31, 2025, which is included in our 2025 Form 10-K.</w:t>
      </w:r>
    </w:p>
    <w:p>
      <w:pPr>
        <w:pStyle w:val="TextBody"/>
        <w:bidi w:val="0"/>
        <w:spacing w:lineRule="auto" w:line="285" w:before="0" w:after="0"/>
        <w:ind w:left="0" w:right="806" w:hanging="0"/>
        <w:jc w:val="both"/>
        <w:rPr/>
      </w:pPr>
      <w:r>
        <w:rPr/>
        <w:t>​</w:t>
      </w:r>
    </w:p>
    <w:p>
      <w:pPr>
        <w:pStyle w:val="TextBody"/>
        <w:bidi w:val="0"/>
        <w:spacing w:lineRule="auto" w:line="285" w:before="0" w:after="160"/>
        <w:ind w:left="0" w:right="806" w:hanging="0"/>
        <w:jc w:val="left"/>
        <w:rPr>
          <w:rFonts w:ascii="Times New Roman;Times;serif" w:hAnsi="Times New Roman;Times;serif"/>
          <w:sz w:val="2"/>
        </w:rPr>
      </w:pPr>
      <w:r>
        <w:rPr>
          <w:rFonts w:ascii="Times New Roman;Times;serif" w:hAnsi="Times New Roman;Times;serif"/>
          <w:b/>
          <w:i w:val="false"/>
          <w:caps w:val="false"/>
          <w:smallCaps w:val="false"/>
          <w:sz w:val="2"/>
        </w:rPr>
        <w:t>y</w:t>
      </w:r>
      <w:r>
        <w:rPr>
          <w:rFonts w:ascii="Times New Roman;Times;serif" w:hAnsi="Times New Roman;Times;serif"/>
          <w:b/>
          <w:i w:val="false"/>
          <w:caps w:val="false"/>
          <w:smallCaps w:val="false"/>
          <w:sz w:val="20"/>
        </w:rPr>
        <w:t xml:space="preserve">6. </w:t>
      </w:r>
      <w:r>
        <w:rPr>
          <w:rFonts w:ascii="Times New Roman;Times;serif" w:hAnsi="Times New Roman;Times;serif"/>
          <w:b/>
          <w:sz w:val="20"/>
        </w:rPr>
        <w:t>Commitments and contingencies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Contingent payments and license agreements</w:t>
      </w:r>
    </w:p>
    <w:p>
      <w:pPr>
        <w:pStyle w:val="TextBody"/>
        <w:bidi w:val="0"/>
        <w:spacing w:lineRule="auto" w:line="285" w:before="0" w:after="160"/>
        <w:ind w:left="0" w:right="0" w:hanging="0"/>
        <w:jc w:val="both"/>
        <w:rPr>
          <w:rFonts w:ascii="Times New Roman;Times;serif" w:hAnsi="Times New Roman;Times;serif"/>
          <w:sz w:val="24"/>
        </w:rPr>
      </w:pPr>
      <w:r>
        <w:rPr>
          <w:rFonts w:ascii="Times New Roman;Times;serif" w:hAnsi="Times New Roman;Times;serif"/>
          <w:spacing w:val="4"/>
          <w:sz w:val="20"/>
        </w:rPr>
        <w:t>We have certain contractual contingent payments under various merger or license agreements executed between 2019 and 2020 for our legacy therapeutic programs. </w:t>
      </w:r>
      <w:r>
        <w:rPr>
          <w:rFonts w:ascii="Times New Roman;Times;serif" w:hAnsi="Times New Roman;Times;serif"/>
          <w:sz w:val="20"/>
        </w:rPr>
        <w:t>Since we have discontinued the clinical development of our legacy therapeutic programs, we believe any </w:t>
      </w:r>
      <w:r>
        <w:rPr>
          <w:rFonts w:ascii="Times New Roman;Times;serif" w:hAnsi="Times New Roman;Times;serif"/>
          <w:spacing w:val="4"/>
          <w:sz w:val="20"/>
        </w:rPr>
        <w:t>contractual payments to be paid by us or to be received by us under these agreements are</w:t>
      </w:r>
      <w:r>
        <w:rPr>
          <w:rFonts w:ascii="Times New Roman;Times;serif" w:hAnsi="Times New Roman;Times;serif"/>
          <w:sz w:val="24"/>
        </w:rPr>
        <w:t> </w:t>
      </w:r>
      <w:r>
        <w:rPr>
          <w:rFonts w:ascii="Times New Roman;Times;serif" w:hAnsi="Times New Roman;Times;serif"/>
          <w:sz w:val="20"/>
        </w:rPr>
        <w:t>remote. Therefore, a</w:t>
      </w:r>
      <w:r>
        <w:rPr>
          <w:rFonts w:ascii="Times New Roman;Times;serif" w:hAnsi="Times New Roman;Times;serif"/>
          <w:sz w:val="20"/>
          <w:shd w:fill="FFFFFF" w:val="clear"/>
        </w:rPr>
        <w:t>s of March 31, 2026, no</w:t>
      </w:r>
      <w:r>
        <w:rPr>
          <w:rFonts w:ascii="Times New Roman;Times;serif" w:hAnsi="Times New Roman;Times;serif"/>
          <w:sz w:val="24"/>
          <w:shd w:fill="FFFFFF" w:val="clear"/>
        </w:rPr>
        <w:t> </w:t>
      </w:r>
      <w:r>
        <w:rPr>
          <w:rFonts w:ascii="Times New Roman;Times;serif" w:hAnsi="Times New Roman;Times;serif"/>
          <w:sz w:val="20"/>
          <w:shd w:fill="FFFFFF" w:val="clear"/>
        </w:rPr>
        <w:t>liabilities or </w:t>
      </w:r>
      <w:r>
        <w:rPr>
          <w:rFonts w:ascii="Times New Roman;Times;serif" w:hAnsi="Times New Roman;Times;serif"/>
          <w:b w:val="false"/>
          <w:i w:val="false"/>
          <w:caps w:val="false"/>
          <w:smallCaps w:val="false"/>
          <w:sz w:val="20"/>
          <w:shd w:fill="FFFFFF" w:val="clear"/>
        </w:rPr>
        <w:t>assets</w:t>
      </w:r>
      <w:r>
        <w:rPr>
          <w:rFonts w:ascii="Times New Roman;Times;serif" w:hAnsi="Times New Roman;Times;serif"/>
          <w:sz w:val="24"/>
          <w:shd w:fill="FFFFFF" w:val="clear"/>
        </w:rPr>
        <w:t> </w:t>
      </w:r>
      <w:r>
        <w:rPr>
          <w:rFonts w:ascii="Times New Roman;Times;serif" w:hAnsi="Times New Roman;Times;serif"/>
          <w:sz w:val="20"/>
          <w:shd w:fill="FFFFFF" w:val="clear"/>
        </w:rPr>
        <w:t>were recorded in the accompanying consolidated financial statements for our legacy therapeutic programs.</w:t>
      </w:r>
    </w:p>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the outcome, litigation can have an adverse impact on us because of defense and settlement costs, diversion of management resources and other factors.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 xml:space="preserve">Stockholders’ equity </w:t>
      </w:r>
    </w:p>
    <w:p>
      <w:pPr>
        <w:pStyle w:val="TextBody"/>
        <w:shd w:fill="FFFFFF" w:val="clear"/>
        <w:bidi w:val="0"/>
        <w:spacing w:lineRule="auto" w:line="285" w:before="0" w:after="16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Public offering</w:t>
      </w:r>
    </w:p>
    <w:p>
      <w:pPr>
        <w:pStyle w:val="TextBody"/>
        <w:bidi w:val="0"/>
        <w:spacing w:lineRule="auto" w:line="285" w:before="160" w:after="160"/>
        <w:ind w:left="0" w:right="0" w:hanging="0"/>
        <w:jc w:val="both"/>
        <w:rPr>
          <w:rFonts w:ascii="Times New Roman;Times;serif" w:hAnsi="Times New Roman;Times;serif"/>
          <w:sz w:val="24"/>
        </w:rPr>
      </w:pPr>
      <w:r>
        <w:rPr>
          <w:rFonts w:ascii="Times New Roman;Times;serif" w:hAnsi="Times New Roman;Times;serif"/>
          <w:sz w:val="20"/>
        </w:rPr>
        <w:t>In January 2026, we closed on an underwritten public offering and received net proceeds of $7.1</w:t>
      </w:r>
      <w:r>
        <w:rPr>
          <w:rFonts w:ascii="Times New Roman;Times;serif" w:hAnsi="Times New Roman;Times;serif"/>
          <w:sz w:val="24"/>
        </w:rPr>
        <w:t> </w:t>
      </w:r>
      <w:r>
        <w:rPr>
          <w:rFonts w:ascii="Times New Roman;Times;serif" w:hAnsi="Times New Roman;Times;serif"/>
          <w:sz w:val="20"/>
        </w:rPr>
        <w:t>million, pursuant to which we issued and sold, (i) 1,006,870</w:t>
      </w:r>
      <w:r>
        <w:rPr>
          <w:rFonts w:ascii="Times New Roman;Times;serif" w:hAnsi="Times New Roman;Times;serif"/>
          <w:sz w:val="24"/>
        </w:rPr>
        <w:t> </w:t>
      </w:r>
      <w:r>
        <w:rPr>
          <w:rFonts w:ascii="Times New Roman;Times;serif" w:hAnsi="Times New Roman;Times;serif"/>
          <w:sz w:val="20"/>
        </w:rPr>
        <w:t>Class A Units, with each Class A Unit consisting of (A) one</w:t>
      </w:r>
      <w:r>
        <w:rPr>
          <w:rFonts w:ascii="Times New Roman;Times;serif" w:hAnsi="Times New Roman;Times;serif"/>
          <w:sz w:val="24"/>
        </w:rPr>
        <w:t> </w:t>
      </w:r>
      <w:r>
        <w:rPr>
          <w:rFonts w:ascii="Times New Roman;Times;serif" w:hAnsi="Times New Roman;Times;serif"/>
          <w:sz w:val="20"/>
        </w:rPr>
        <w:t>share of common stock, (B) 1.5</w:t>
      </w:r>
      <w:r>
        <w:rPr>
          <w:rFonts w:ascii="Times New Roman;Times;serif" w:hAnsi="Times New Roman;Times;serif"/>
          <w:sz w:val="24"/>
        </w:rPr>
        <w:t> </w:t>
      </w:r>
      <w:r>
        <w:rPr>
          <w:rFonts w:ascii="Times New Roman;Times;serif" w:hAnsi="Times New Roman;Times;serif"/>
          <w:sz w:val="20"/>
        </w:rPr>
        <w:t>Series C Common Warrants to purchase 1.5</w:t>
      </w:r>
      <w:r>
        <w:rPr>
          <w:rFonts w:ascii="Times New Roman;Times;serif" w:hAnsi="Times New Roman;Times;serif"/>
          <w:sz w:val="24"/>
        </w:rPr>
        <w:t> </w:t>
      </w:r>
      <w:r>
        <w:rPr>
          <w:rFonts w:ascii="Times New Roman;Times;serif" w:hAnsi="Times New Roman;Times;serif"/>
          <w:sz w:val="20"/>
        </w:rPr>
        <w:t>shares of common stock, and (C) 1.5</w:t>
      </w:r>
      <w:r>
        <w:rPr>
          <w:rFonts w:ascii="Times New Roman;Times;serif" w:hAnsi="Times New Roman;Times;serif"/>
          <w:sz w:val="24"/>
        </w:rPr>
        <w:t> </w:t>
      </w:r>
      <w:r>
        <w:rPr>
          <w:rFonts w:ascii="Times New Roman;Times;serif" w:hAnsi="Times New Roman;Times;serif"/>
          <w:sz w:val="20"/>
        </w:rPr>
        <w:t>Series D Common Warrants to purchase 1.5</w:t>
      </w:r>
      <w:r>
        <w:rPr>
          <w:rFonts w:ascii="Times New Roman;Times;serif" w:hAnsi="Times New Roman;Times;serif"/>
          <w:sz w:val="24"/>
        </w:rPr>
        <w:t> </w:t>
      </w:r>
      <w:r>
        <w:rPr>
          <w:rFonts w:ascii="Times New Roman;Times;serif" w:hAnsi="Times New Roman;Times;serif"/>
          <w:sz w:val="20"/>
        </w:rPr>
        <w:t>shares of common stock, at a price of $3.10</w:t>
      </w:r>
      <w:r>
        <w:rPr>
          <w:rFonts w:ascii="Times New Roman;Times;serif" w:hAnsi="Times New Roman;Times;serif"/>
          <w:sz w:val="24"/>
        </w:rPr>
        <w:t> </w:t>
      </w:r>
      <w:r>
        <w:rPr>
          <w:rFonts w:ascii="Times New Roman;Times;serif" w:hAnsi="Times New Roman;Times;serif"/>
          <w:sz w:val="20"/>
        </w:rPr>
        <w:t>per Class A Unit, and (ii) 1,998,704</w:t>
      </w:r>
      <w:r>
        <w:rPr>
          <w:rFonts w:ascii="Times New Roman;Times;serif" w:hAnsi="Times New Roman;Times;serif"/>
          <w:sz w:val="24"/>
        </w:rPr>
        <w:t> </w:t>
      </w:r>
      <w:r>
        <w:rPr>
          <w:rFonts w:ascii="Times New Roman;Times;serif" w:hAnsi="Times New Roman;Times;serif"/>
          <w:sz w:val="20"/>
        </w:rPr>
        <w:t>Class B Units, with each Class B Unit consisting of (A) one</w:t>
      </w:r>
      <w:r>
        <w:rPr>
          <w:rFonts w:ascii="Times New Roman;Times;serif" w:hAnsi="Times New Roman;Times;serif"/>
          <w:sz w:val="24"/>
        </w:rPr>
        <w:t> </w:t>
      </w:r>
      <w:r>
        <w:rPr>
          <w:rFonts w:ascii="Times New Roman;Times;serif" w:hAnsi="Times New Roman;Times;serif"/>
          <w:sz w:val="20"/>
        </w:rPr>
        <w:t>pre-funded warrant to purchase one</w:t>
      </w:r>
      <w:r>
        <w:rPr>
          <w:rFonts w:ascii="Times New Roman;Times;serif" w:hAnsi="Times New Roman;Times;serif"/>
          <w:sz w:val="24"/>
        </w:rPr>
        <w:t> </w:t>
      </w:r>
      <w:r>
        <w:rPr>
          <w:rFonts w:ascii="Times New Roman;Times;serif" w:hAnsi="Times New Roman;Times;serif"/>
          <w:sz w:val="20"/>
        </w:rPr>
        <w:t>share of common stock, (B) 1.5</w:t>
      </w:r>
      <w:r>
        <w:rPr>
          <w:rFonts w:ascii="Times New Roman;Times;serif" w:hAnsi="Times New Roman;Times;serif"/>
          <w:sz w:val="24"/>
        </w:rPr>
        <w:t> </w:t>
      </w:r>
      <w:r>
        <w:rPr>
          <w:rFonts w:ascii="Times New Roman;Times;serif" w:hAnsi="Times New Roman;Times;serif"/>
          <w:sz w:val="20"/>
        </w:rPr>
        <w:t>Series C Common Warrants to purchase 1.5</w:t>
      </w:r>
      <w:r>
        <w:rPr>
          <w:rFonts w:ascii="Times New Roman;Times;serif" w:hAnsi="Times New Roman;Times;serif"/>
          <w:sz w:val="24"/>
        </w:rPr>
        <w:t> </w:t>
      </w:r>
      <w:r>
        <w:rPr>
          <w:rFonts w:ascii="Times New Roman;Times;serif" w:hAnsi="Times New Roman;Times;serif"/>
          <w:sz w:val="20"/>
        </w:rPr>
        <w:t>shares of common stock, and (C) 1.5</w:t>
      </w:r>
      <w:r>
        <w:rPr>
          <w:rFonts w:ascii="Times New Roman;Times;serif" w:hAnsi="Times New Roman;Times;serif"/>
          <w:sz w:val="24"/>
        </w:rPr>
        <w:t> </w:t>
      </w:r>
      <w:r>
        <w:rPr>
          <w:rFonts w:ascii="Times New Roman;Times;serif" w:hAnsi="Times New Roman;Times;serif"/>
          <w:sz w:val="20"/>
        </w:rPr>
        <w:t>Series D Common Warrants to purchase 1.5</w:t>
      </w:r>
      <w:r>
        <w:rPr>
          <w:rFonts w:ascii="Times New Roman;Times;serif" w:hAnsi="Times New Roman;Times;serif"/>
          <w:sz w:val="24"/>
        </w:rPr>
        <w:t> </w:t>
      </w:r>
      <w:r>
        <w:rPr>
          <w:rFonts w:ascii="Times New Roman;Times;serif" w:hAnsi="Times New Roman;Times;serif"/>
          <w:sz w:val="20"/>
        </w:rPr>
        <w:t>shares of common stock, at a purchase price of $3.099</w:t>
      </w:r>
      <w:r>
        <w:rPr>
          <w:rFonts w:ascii="Times New Roman;Times;serif" w:hAnsi="Times New Roman;Times;serif"/>
          <w:sz w:val="24"/>
        </w:rPr>
        <w:t> </w:t>
      </w:r>
      <w:r>
        <w:rPr>
          <w:rFonts w:ascii="Times New Roman;Times;serif" w:hAnsi="Times New Roman;Times;serif"/>
          <w:sz w:val="20"/>
        </w:rPr>
        <w:t>per Class B Unit. Each pre-funded warrant has an exercise price of $0.001</w:t>
      </w:r>
      <w:r>
        <w:rPr>
          <w:rFonts w:ascii="Times New Roman;Times;serif" w:hAnsi="Times New Roman;Times;serif"/>
          <w:sz w:val="24"/>
        </w:rPr>
        <w:t> </w:t>
      </w:r>
      <w:r>
        <w:rPr>
          <w:rFonts w:ascii="Times New Roman;Times;serif" w:hAnsi="Times New Roman;Times;serif"/>
          <w:sz w:val="20"/>
        </w:rPr>
        <w:t>per share and is immediately exercisable and will expire when exercised in full. Each Series C Common Warrant and Series D Common Warrant has an exercise price of $3.10</w:t>
      </w:r>
      <w:r>
        <w:rPr>
          <w:rFonts w:ascii="Times New Roman;Times;serif" w:hAnsi="Times New Roman;Times;serif"/>
          <w:sz w:val="24"/>
        </w:rPr>
        <w:t> </w:t>
      </w:r>
      <w:r>
        <w:rPr>
          <w:rFonts w:ascii="Times New Roman;Times;serif" w:hAnsi="Times New Roman;Times;serif"/>
          <w:b w:val="false"/>
          <w:i w:val="false"/>
          <w:caps w:val="false"/>
          <w:smallCaps w:val="false"/>
          <w:sz w:val="20"/>
        </w:rPr>
        <w:t>per</w:t>
      </w:r>
      <w:r>
        <w:rPr>
          <w:rFonts w:ascii="Times New Roman;Times;serif" w:hAnsi="Times New Roman;Times;serif"/>
          <w:sz w:val="24"/>
        </w:rPr>
        <w:t> </w:t>
      </w:r>
      <w:r>
        <w:rPr>
          <w:rFonts w:ascii="Times New Roman;Times;serif" w:hAnsi="Times New Roman;Times;serif"/>
          <w:sz w:val="20"/>
        </w:rPr>
        <w:t xml:space="preserve">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 The Series D Common Warrants are callable at our option following the release of a positive data readout for our Phase 1, Part 3 clinical trial for DA-1726 via a widely disseminated press release, subject to the satisfaction of certain conditions. The Series C and Series D Common Warrants are fixed priced and do not contain any variable pricing features or alternative exercise provisions. </w:t>
      </w:r>
      <w:r>
        <w:rPr>
          <w:rFonts w:ascii="Times New Roman;Times;serif" w:hAnsi="Times New Roman;Times;serif"/>
          <w:color w:val="212529"/>
          <w:sz w:val="20"/>
          <w:shd w:fill="FFFFFF" w:val="clear"/>
        </w:rPr>
        <w:t>Based on the terms of the pre-funded warrants and the Series C and Series D Common Warrants, we have concluded that the accounting classification of these warrants is to be stockholders’ equity.</w:t>
      </w:r>
    </w:p>
    <w:p>
      <w:pPr>
        <w:pStyle w:val="TextBody"/>
        <w:pBd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As of March 31, 2026, 1,630,964 of the pre-funded warrants issued in the January 2026 underwritten public offering have been exercised for an equivalent number of shares of our common stock.</w:t>
      </w:r>
    </w:p>
    <w:p>
      <w:pPr>
        <w:pStyle w:val="TextBody"/>
        <w:pBdr/>
        <w:shd w:fill="FFFFFF" w:val="clear"/>
        <w:bidi w:val="0"/>
        <w:spacing w:lineRule="auto" w:line="285" w:before="0" w:after="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At the market offering</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In November 2025, we entered into an At The Market Offering Agreement (the “ATM Sales Agreement”) with Ladenburg Thalmann &amp; Co. Inc., as sales agent and/or principal (“Ladenburg”), pursuant to which we may offer and sell, from time to time through or to Ladenburg, shares of our common stock having an aggregate offering price of up to $2.3 million (the “ATM Program”). The offer and sale of the shares of common stock pursuant to the ATM Program is made pursuant to a shelf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pBdr/>
        <w:shd w:fill="FFFFFF" w:val="clear"/>
        <w:bidi w:val="0"/>
        <w:spacing w:lineRule="auto" w:line="285" w:before="0" w:after="0"/>
        <w:ind w:left="0" w:right="0" w:hanging="0"/>
        <w:jc w:val="both"/>
        <w:rPr>
          <w:rFonts w:ascii="Times New Roman;Times;serif" w:hAnsi="Times New Roman;Times;serif"/>
          <w:sz w:val="20"/>
        </w:rPr>
      </w:pPr>
      <w:bookmarkStart w:id="439" w:name="Tc_-JG6q37EYUm7QoEc616LxQ_12_0"/>
      <w:bookmarkStart w:id="440" w:name="Tc_P1ghkxNVAke0khl_n2tkyg_11_9"/>
      <w:bookmarkStart w:id="441" w:name="Tc_e5cQ7PRKJ0SkfpLepqc5Hg_11_6"/>
      <w:bookmarkStart w:id="442" w:name="Tc_4icWY7xCo0GMF-CqkmqI3g_11_4"/>
      <w:bookmarkStart w:id="443" w:name="Tc_IQbWLG2Yl0C7d5oO0gcAFQ_11_0"/>
      <w:bookmarkStart w:id="444" w:name="Tc_nnyjtQam_kaoFH1e8YU73g_10_9"/>
      <w:bookmarkStart w:id="445" w:name="Tc_GjGchl8cb0aYfDONRbAAlw_10_6"/>
      <w:bookmarkStart w:id="446" w:name="Tc_0_U55tC_eUGI2rNl9KNTtg_10_4"/>
      <w:bookmarkStart w:id="447" w:name="Tc_C2dGPSdYe0mYHPVGYx2xjQ_10_0"/>
      <w:bookmarkStart w:id="448" w:name="Tc_JDv1OLRRLE6EGNhjKhxHRA_9_9"/>
      <w:bookmarkStart w:id="449" w:name="Tc_z5BcQzh860in0ZGhkikkcg_9_6"/>
      <w:bookmarkStart w:id="450" w:name="Tc_t9cBt6BVpkOYlKp7OebcnA_9_4"/>
      <w:bookmarkStart w:id="451" w:name="Tc_CAKJz8MBHkat9xZKWlOHzQ_9_0"/>
      <w:bookmarkStart w:id="452" w:name="Tc_XmVde5XfW0C71ll9gSSsoA_8_9"/>
      <w:bookmarkStart w:id="453" w:name="Tc_09Jk0ID8xUGhJpwDBHWgNw_8_6"/>
      <w:bookmarkStart w:id="454" w:name="Tc_wAyB_2pulUC9yYZYZ0AvYg_8_0"/>
      <w:bookmarkStart w:id="455" w:name="Tc_Pm1SaptexUW0ZjMly_FNFw_7_9"/>
      <w:bookmarkStart w:id="456" w:name="Tc_ER5mIWciR0GfQVfU4mtlWw_7_6"/>
      <w:bookmarkStart w:id="457" w:name="Tc_q65OYbcx0kaBTwqc8p1ehw_7_0"/>
      <w:bookmarkStart w:id="458" w:name="Tc_u8WNfbLDXUCBrehP-qiHjA_6_9"/>
      <w:bookmarkStart w:id="459" w:name="Tc_YXQ5BYF0U021VYyjSszK3w_6_6"/>
      <w:bookmarkStart w:id="460" w:name="Tc_JGJuuFeew0uxhA2zcKFItg_6_0"/>
      <w:bookmarkStart w:id="461" w:name="Tc_D_ydOdrKxU64q0zVhWHiDQ_5_9"/>
      <w:bookmarkStart w:id="462" w:name="Tc_1GpqzSQWAk28HAgZrkPVoA_5_6"/>
      <w:bookmarkStart w:id="463" w:name="Tc_7d-kN3IRrEiPpEvkZiJxkg_5_0"/>
      <w:bookmarkStart w:id="464" w:name="Tc_ZEuVY-5DB06-zT0HYZGREA_4_9"/>
      <w:bookmarkStart w:id="465" w:name="Tc_01m-TIXOSEa2VN09h17bgQ_4_6"/>
      <w:bookmarkStart w:id="466" w:name="Tc_Qkq17BT80k2hbuZUY0poAA_4_4"/>
      <w:bookmarkStart w:id="467" w:name="Tc_WmIek1HsE0W6WdwbeQ6UFw_4_2"/>
      <w:bookmarkStart w:id="468" w:name="Tc_8K580Q9GrkmtcopTLnPBhA_4_0"/>
      <w:bookmarkStart w:id="469" w:name="Tc_C2zPTgTlG0C7Gp35IKrfSQ_3_6"/>
      <w:bookmarkStart w:id="470" w:name="Tc_kTZW8DUTDkSx-5y_h60_nw_3_2"/>
      <w:bookmarkStart w:id="471" w:name="Tc_-muJJIOyAkugEaVwEA2ZMQ_2_2"/>
      <w:bookmarkStart w:id="472" w:name="Tc_ne5OLx53F0ixloI_0qpGDA_1_2"/>
      <w:bookmarkStart w:id="473" w:name="_8a369d52_01c8_4303_8384_7cd6e4d2b755"/>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Times;serif" w:hAnsi="Times New Roman;Times;serif"/>
          <w:sz w:val="20"/>
        </w:rPr>
        <w:t>registration statement on Form S-3 and the related prospectus (File No. 333-278646) filed with the SEC on April 12, 2024, and declared effective by the SEC on April 23, 2024, as supplemented by a prospectus supplement to be filed with the SEC on November 6, 2025 pursuant to Rule 424(b) under the Securities Act.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In March 2026, we sold 216,625 shares of common stock under the ATM Program and received net proceeds of $0.3 million, net of sales agent commission and related offering expenses. As of March 31, 2026, we have $0.8 million remaining under the ATM Program in which we may offer and sell shares of our common stock.</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our outstanding warrants:</w:t>
      </w:r>
    </w:p>
    <w:p>
      <w:pPr>
        <w:pStyle w:val="TextBody"/>
        <w:bidi w:val="0"/>
        <w:spacing w:lineRule="auto" w:line="285" w:before="0" w:after="0"/>
        <w:ind w:left="0" w:right="0" w:hanging="0"/>
        <w:jc w:val="left"/>
        <w:rPr/>
      </w:pPr>
      <w:r>
        <w:rPr/>
        <w:t>​</w:t>
      </w:r>
    </w:p>
    <w:tbl>
      <w:tblPr>
        <w:tblW w:w="9757" w:type="dxa"/>
        <w:jc w:val="left"/>
        <w:tblInd w:w="0" w:type="dxa"/>
        <w:tblLayout w:type="fixed"/>
        <w:tblCellMar>
          <w:top w:w="0" w:type="dxa"/>
          <w:left w:w="0" w:type="dxa"/>
          <w:bottom w:w="0" w:type="dxa"/>
          <w:right w:w="0" w:type="dxa"/>
        </w:tblCellMar>
      </w:tblPr>
      <w:tblGrid>
        <w:gridCol w:w="2386"/>
        <w:gridCol w:w="109"/>
        <w:gridCol w:w="1396"/>
        <w:gridCol w:w="109"/>
        <w:gridCol w:w="1681"/>
        <w:gridCol w:w="109"/>
        <w:gridCol w:w="211"/>
        <w:gridCol w:w="1186"/>
        <w:gridCol w:w="109"/>
        <w:gridCol w:w="2461"/>
      </w:tblGrid>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86460" cy="175260"/>
                      <wp:effectExtent l="0" t="0" r="0" b="0"/>
                      <wp:wrapNone/>
                      <wp:docPr id="76" name="Frame75"/>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067435" cy="175260"/>
                      <wp:effectExtent l="0" t="0" r="0" b="0"/>
                      <wp:wrapNone/>
                      <wp:docPr id="78" name="Frame7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53110" cy="175260"/>
                      <wp:effectExtent l="0" t="0" r="0" b="0"/>
                      <wp:wrapNone/>
                      <wp:docPr id="79" name="Frame7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86" w:type="dxa"/>
            <w:gridSpan w:val="3"/>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Shares of Common Stock Issuable</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86"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for Outstanding Warrants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186" w:type="dxa"/>
            <w:gridSpan w:val="3"/>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As of</w:t>
            </w:r>
          </w:p>
        </w:tc>
        <w:tc>
          <w:tcPr>
            <w:tcW w:w="109" w:type="dxa"/>
            <w:tcBorders/>
            <w:vAlign w:val="center"/>
          </w:tcPr>
          <w:p>
            <w:pPr>
              <w:pStyle w:val="TableContents"/>
              <w:bidi w:val="0"/>
              <w:spacing w:lineRule="auto" w:line="285" w:before="0" w:after="0"/>
              <w:ind w:left="0" w:right="0" w:hanging="0"/>
              <w:jc w:val="left"/>
              <w:rPr/>
            </w:pPr>
            <w:r>
              <w:rPr/>
              <w:t>​</w:t>
            </w:r>
          </w:p>
        </w:tc>
        <w:tc>
          <w:tcPr>
            <w:tcW w:w="139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109" w:type="dxa"/>
            <w:tcBorders/>
            <w:vAlign w:val="center"/>
          </w:tcPr>
          <w:p>
            <w:pPr>
              <w:pStyle w:val="TableContents"/>
              <w:bidi w:val="0"/>
              <w:spacing w:lineRule="auto" w:line="285" w:before="0" w:after="0"/>
              <w:ind w:left="0" w:right="0" w:hanging="0"/>
              <w:jc w:val="left"/>
              <w:rPr/>
            </w:pPr>
            <w:r>
              <w:rPr/>
              <w:t>​</w:t>
            </w:r>
          </w:p>
        </w:tc>
        <w:tc>
          <w:tcPr>
            <w:tcW w:w="2461" w:type="dxa"/>
            <w:tcBorders/>
            <w:vAlign w:val="center"/>
          </w:tcPr>
          <w:p>
            <w:pPr>
              <w:pStyle w:val="TableContents"/>
              <w:bidi w:val="0"/>
              <w:spacing w:lineRule="auto" w:line="285" w:before="0" w:after="0"/>
              <w:ind w:left="0" w:right="0" w:hanging="0"/>
              <w:jc w:val="center"/>
              <w:rPr/>
            </w:pPr>
            <w:r>
              <w:rPr/>
              <w:t>​</w:t>
            </w:r>
          </w:p>
        </w:tc>
      </w:tr>
      <w:tr>
        <w:trPr/>
        <w:tc>
          <w:tcPr>
            <w:tcW w:w="238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Warrant Issuance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396"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March 31, 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December 31, 2025</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461" w:type="dxa"/>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Expiration Date</w:t>
            </w:r>
          </w:p>
        </w:tc>
      </w:tr>
      <w:tr>
        <w:trPr/>
        <w:tc>
          <w:tcPr>
            <w:tcW w:w="2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January 2021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3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6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15,919.2000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July 2026</w:t>
            </w:r>
          </w:p>
        </w:tc>
      </w:tr>
      <w:tr>
        <w:trPr/>
        <w:tc>
          <w:tcPr>
            <w:tcW w:w="23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November 2022 Series B </w:t>
            </w:r>
            <w:r>
              <w:rPr>
                <w:rFonts w:ascii="Times New Roman;Times;serif" w:hAnsi="Times New Roman;Times;serif"/>
                <w:sz w:val="15"/>
              </w:rPr>
              <w:t>(1)</w:t>
            </w:r>
          </w:p>
        </w:tc>
        <w:tc>
          <w:tcPr>
            <w:tcW w:w="109" w:type="dxa"/>
            <w:tcBorders/>
            <w:vAlign w:val="center"/>
          </w:tcPr>
          <w:p>
            <w:pPr>
              <w:pStyle w:val="TableContents"/>
              <w:bidi w:val="0"/>
              <w:spacing w:lineRule="auto" w:line="285" w:before="0" w:after="0"/>
              <w:ind w:left="0" w:right="0" w:hanging="0"/>
              <w:jc w:val="right"/>
              <w:rPr/>
            </w:pPr>
            <w:r>
              <w:rPr/>
              <w:t>​</w:t>
            </w:r>
          </w:p>
        </w:tc>
        <w:tc>
          <w:tcPr>
            <w:tcW w:w="13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16,176</w:t>
            </w:r>
          </w:p>
        </w:tc>
        <w:tc>
          <w:tcPr>
            <w:tcW w:w="109" w:type="dxa"/>
            <w:tcBorders/>
            <w:vAlign w:val="center"/>
          </w:tcPr>
          <w:p>
            <w:pPr>
              <w:pStyle w:val="TableContents"/>
              <w:bidi w:val="0"/>
              <w:spacing w:lineRule="auto" w:line="285" w:before="0" w:after="0"/>
              <w:ind w:left="0" w:right="0" w:hanging="0"/>
              <w:jc w:val="right"/>
              <w:rPr/>
            </w:pPr>
            <w:r>
              <w:rPr/>
              <w:t>​</w:t>
            </w:r>
          </w:p>
        </w:tc>
        <w:tc>
          <w:tcPr>
            <w:tcW w:w="16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16,176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0.0000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December 2027</w:t>
            </w:r>
          </w:p>
        </w:tc>
      </w:tr>
      <w:tr>
        <w:trPr/>
        <w:tc>
          <w:tcPr>
            <w:tcW w:w="2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June 2024 Placement Agent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3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11,564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6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11,564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54.0375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July 2026</w:t>
            </w:r>
          </w:p>
        </w:tc>
      </w:tr>
      <w:tr>
        <w:trPr/>
        <w:tc>
          <w:tcPr>
            <w:tcW w:w="238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June 2024 Series B </w:t>
            </w:r>
            <w:r>
              <w:rPr>
                <w:rFonts w:ascii="Times New Roman;Times;serif" w:hAnsi="Times New Roman;Times;serif"/>
                <w:sz w:val="15"/>
              </w:rPr>
              <w:t>(2)</w:t>
            </w:r>
          </w:p>
        </w:tc>
        <w:tc>
          <w:tcPr>
            <w:tcW w:w="109" w:type="dxa"/>
            <w:tcBorders/>
            <w:vAlign w:val="center"/>
          </w:tcPr>
          <w:p>
            <w:pPr>
              <w:pStyle w:val="TableContents"/>
              <w:bidi w:val="0"/>
              <w:spacing w:lineRule="auto" w:line="285" w:before="0" w:after="0"/>
              <w:ind w:left="0" w:right="0" w:hanging="0"/>
              <w:jc w:val="right"/>
              <w:rPr/>
            </w:pPr>
            <w:r>
              <w:rPr/>
              <w:t>​</w:t>
            </w:r>
          </w:p>
        </w:tc>
        <w:tc>
          <w:tcPr>
            <w:tcW w:w="13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693,962</w:t>
            </w:r>
          </w:p>
        </w:tc>
        <w:tc>
          <w:tcPr>
            <w:tcW w:w="109" w:type="dxa"/>
            <w:tcBorders/>
            <w:vAlign w:val="center"/>
          </w:tcPr>
          <w:p>
            <w:pPr>
              <w:pStyle w:val="TableContents"/>
              <w:bidi w:val="0"/>
              <w:spacing w:lineRule="auto" w:line="285" w:before="0" w:after="0"/>
              <w:ind w:left="0" w:right="0" w:hanging="0"/>
              <w:jc w:val="right"/>
              <w:rPr/>
            </w:pPr>
            <w:r>
              <w:rPr/>
              <w:t>​</w:t>
            </w:r>
          </w:p>
        </w:tc>
        <w:tc>
          <w:tcPr>
            <w:tcW w:w="16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693,962</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43.2300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September 2029 (latest date)</w:t>
            </w:r>
          </w:p>
        </w:tc>
      </w:tr>
      <w:tr>
        <w:trPr/>
        <w:tc>
          <w:tcPr>
            <w:tcW w:w="23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January 2026 Pre-funded </w:t>
            </w:r>
            <w:r>
              <w:rPr>
                <w:rFonts w:ascii="Times New Roman;Times;serif" w:hAnsi="Times New Roman;Times;serif"/>
                <w:sz w:val="15"/>
              </w:rPr>
              <w:t>(3)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39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367,740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681"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0.0010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No expiration date</w:t>
            </w:r>
          </w:p>
        </w:tc>
      </w:tr>
      <w:tr>
        <w:trPr/>
        <w:tc>
          <w:tcPr>
            <w:tcW w:w="2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January 2026 Series C</w:t>
            </w:r>
          </w:p>
        </w:tc>
        <w:tc>
          <w:tcPr>
            <w:tcW w:w="109" w:type="dxa"/>
            <w:tcBorders/>
            <w:vAlign w:val="center"/>
          </w:tcPr>
          <w:p>
            <w:pPr>
              <w:pStyle w:val="TableContents"/>
              <w:bidi w:val="0"/>
              <w:spacing w:lineRule="auto" w:line="285" w:before="0" w:after="0"/>
              <w:ind w:left="0" w:right="0" w:hanging="0"/>
              <w:jc w:val="right"/>
              <w:rPr/>
            </w:pPr>
            <w:r>
              <w:rPr/>
              <w:t>​</w:t>
            </w:r>
          </w:p>
        </w:tc>
        <w:tc>
          <w:tcPr>
            <w:tcW w:w="139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4,508,361</w:t>
            </w:r>
          </w:p>
        </w:tc>
        <w:tc>
          <w:tcPr>
            <w:tcW w:w="109" w:type="dxa"/>
            <w:tcBorders/>
            <w:vAlign w:val="center"/>
          </w:tcPr>
          <w:p>
            <w:pPr>
              <w:pStyle w:val="TableContents"/>
              <w:bidi w:val="0"/>
              <w:spacing w:lineRule="auto" w:line="285" w:before="0" w:after="0"/>
              <w:ind w:left="0" w:right="0" w:hanging="0"/>
              <w:jc w:val="right"/>
              <w:rPr/>
            </w:pPr>
            <w:r>
              <w:rPr/>
              <w:t>​</w:t>
            </w:r>
          </w:p>
        </w:tc>
        <w:tc>
          <w:tcPr>
            <w:tcW w:w="1681" w:type="dxa"/>
            <w:tcBorders/>
            <w:vAlign w:val="center"/>
          </w:tcPr>
          <w:p>
            <w:pPr>
              <w:pStyle w:val="TableContents"/>
              <w:bidi w:val="0"/>
              <w:spacing w:lineRule="auto" w:line="285" w:before="0" w:after="1"/>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3.1000 </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January 2031</w:t>
            </w:r>
          </w:p>
        </w:tc>
      </w:tr>
      <w:tr>
        <w:trPr/>
        <w:tc>
          <w:tcPr>
            <w:tcW w:w="2386" w:type="dxa"/>
            <w:tcBorders>
              <w:bottom w:val="single" w:sz="2" w:space="0" w:color="000000"/>
            </w:tcBorders>
            <w:shd w:fill="CCEEFF" w:val="clear"/>
            <w:tcMar>
              <w:bottom w:w="28" w:type="dxa"/>
            </w:tcM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January 2026 Series D </w:t>
            </w:r>
            <w:r>
              <w:rPr>
                <w:rFonts w:ascii="Times New Roman;Times;serif" w:hAnsi="Times New Roman;Times;serif"/>
                <w:sz w:val="15"/>
              </w:rPr>
              <w:t>(4)</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39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4,508,361</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68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 xml:space="preserve">3.1000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461" w:type="dxa"/>
            <w:tcBorders/>
            <w:shd w:fill="CCEEFF" w:val="clear"/>
            <w:vAlign w:val="center"/>
          </w:tcPr>
          <w:p>
            <w:pPr>
              <w:pStyle w:val="TableContents"/>
              <w:bidi w:val="0"/>
              <w:spacing w:lineRule="auto" w:line="285" w:before="0" w:after="1"/>
              <w:ind w:left="0" w:right="0" w:hanging="0"/>
              <w:jc w:val="center"/>
              <w:rPr>
                <w:rFonts w:ascii="Times New Roman;Times;serif" w:hAnsi="Times New Roman;Times;serif"/>
                <w:sz w:val="20"/>
              </w:rPr>
            </w:pPr>
            <w:r>
              <w:rPr>
                <w:rFonts w:ascii="Times New Roman;Times;serif" w:hAnsi="Times New Roman;Times;serif"/>
                <w:sz w:val="20"/>
              </w:rPr>
              <w:t>January 2028</w:t>
            </w:r>
          </w:p>
        </w:tc>
      </w:tr>
      <w:tr>
        <w:trPr/>
        <w:tc>
          <w:tcPr>
            <w:tcW w:w="2386"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9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10,107,106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81"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722,644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right"/>
              <w:rPr/>
            </w:pPr>
            <w:r>
              <w:rPr/>
              <w:t>​</w:t>
            </w:r>
          </w:p>
        </w:tc>
        <w:tc>
          <w:tcPr>
            <w:tcW w:w="11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461"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80"/>
        <w:ind w:left="360" w:right="360" w:hanging="0"/>
        <w:jc w:val="both"/>
        <w:rPr>
          <w:rFonts w:ascii="Helvetica;sans-serif" w:hAnsi="Helvetica;sans-serif"/>
          <w:sz w:val="22"/>
        </w:rPr>
      </w:pPr>
      <w:r>
        <w:rPr>
          <w:rFonts w:ascii="Times New Roman;Times;serif" w:hAnsi="Times New Roman;Times;serif"/>
          <w:sz w:val="15"/>
        </w:rPr>
        <w:t>(1)</w:t>
      </w:r>
      <w:r>
        <w:rPr>
          <w:rFonts w:ascii="Times New Roman;Times;serif" w:hAnsi="Times New Roman;Times;serif"/>
          <w:sz w:val="20"/>
        </w:rPr>
        <w:t>These warrants have a cashless exercise provision whereby the warrants can be exercised for common stock for no</w:t>
      </w:r>
      <w:r>
        <w:rPr>
          <w:rFonts w:ascii="Helvetica;sans-serif" w:hAnsi="Helvetica;sans-serif"/>
          <w:sz w:val="22"/>
        </w:rPr>
        <w:t xml:space="preserve"> </w:t>
      </w:r>
      <w:r>
        <w:rPr>
          <w:rFonts w:ascii="Times New Roman;Times;serif" w:hAnsi="Times New Roman;Times;serif"/>
          <w:sz w:val="20"/>
        </w:rPr>
        <w:t>additional consideration, which renders the $264.00</w:t>
      </w:r>
      <w:r>
        <w:rPr>
          <w:rFonts w:ascii="Helvetica;sans-serif" w:hAnsi="Helvetica;sans-serif"/>
          <w:sz w:val="22"/>
        </w:rPr>
        <w:t xml:space="preserve"> </w:t>
      </w:r>
      <w:r>
        <w:rPr>
          <w:rFonts w:ascii="Times New Roman;Times;serif" w:hAnsi="Times New Roman;Times;serif"/>
          <w:sz w:val="20"/>
        </w:rPr>
        <w:t>per warrant exercise price to be zero.</w:t>
      </w:r>
    </w:p>
    <w:p>
      <w:pPr>
        <w:pStyle w:val="TextBody"/>
        <w:bidi w:val="0"/>
        <w:spacing w:lineRule="auto" w:line="285" w:before="0" w:after="80"/>
        <w:ind w:left="360" w:right="360" w:hanging="0"/>
        <w:jc w:val="both"/>
        <w:rPr>
          <w:rFonts w:ascii="Helvetica;sans-serif" w:hAnsi="Helvetica;sans-serif"/>
          <w:sz w:val="22"/>
        </w:rPr>
      </w:pPr>
      <w:r>
        <w:rPr>
          <w:rFonts w:ascii="Times New Roman;Times;serif" w:hAnsi="Times New Roman;Times;serif"/>
          <w:sz w:val="15"/>
        </w:rPr>
        <w:t>(2)</w:t>
      </w:r>
      <w:r>
        <w:rPr>
          <w:rFonts w:ascii="Times New Roman;Times;serif" w:hAnsi="Times New Roman;Times;serif"/>
          <w:sz w:val="20"/>
        </w:rPr>
        <w:t>These warrants expire on the earlier of September 18, 2029 and the six months</w:t>
      </w:r>
      <w:r>
        <w:rPr>
          <w:rFonts w:ascii="Helvetica;sans-serif" w:hAnsi="Helvetica;sans-serif"/>
          <w:sz w:val="22"/>
        </w:rPr>
        <w:t xml:space="preserve"> </w:t>
      </w:r>
      <w:r>
        <w:rPr>
          <w:rFonts w:ascii="Times New Roman;Times;serif" w:hAnsi="Times New Roman;Times;serif"/>
          <w:sz w:val="20"/>
        </w:rPr>
        <w:t>anniversary following the date on which we publicly announce a positive data readout for our Phase 1, Part 3 clinical trial for DA-1726.</w:t>
      </w:r>
    </w:p>
    <w:p>
      <w:pPr>
        <w:pStyle w:val="TextBody"/>
        <w:bidi w:val="0"/>
        <w:spacing w:lineRule="auto" w:line="285" w:before="0" w:after="80"/>
        <w:ind w:left="360" w:right="360" w:hanging="0"/>
        <w:jc w:val="both"/>
        <w:rPr>
          <w:rFonts w:ascii="Helvetica;sans-serif" w:hAnsi="Helvetica;sans-serif"/>
          <w:sz w:val="22"/>
        </w:rPr>
      </w:pPr>
      <w:r>
        <w:rPr>
          <w:rFonts w:ascii="Times New Roman;Times;serif" w:hAnsi="Times New Roman;Times;serif"/>
          <w:sz w:val="15"/>
        </w:rPr>
        <w:t>(3)</w:t>
      </w:r>
      <w:r>
        <w:rPr>
          <w:rFonts w:ascii="Times New Roman;Times;serif" w:hAnsi="Times New Roman;Times;serif"/>
          <w:sz w:val="20"/>
        </w:rPr>
        <w:t>These warrants are considered to be perpetual warrants without any expiration date. Of the total 1,998,704</w:t>
      </w:r>
      <w:r>
        <w:rPr>
          <w:rFonts w:ascii="Helvetica;sans-serif" w:hAnsi="Helvetica;sans-serif"/>
          <w:sz w:val="22"/>
        </w:rPr>
        <w:t xml:space="preserve"> </w:t>
      </w:r>
      <w:r>
        <w:rPr>
          <w:rFonts w:ascii="Times New Roman;Times;serif" w:hAnsi="Times New Roman;Times;serif"/>
          <w:sz w:val="20"/>
        </w:rPr>
        <w:t>pre-funded warrants issued in January 2026, 1,630,964</w:t>
      </w:r>
      <w:r>
        <w:rPr>
          <w:rFonts w:ascii="Helvetica;sans-serif" w:hAnsi="Helvetica;sans-serif"/>
          <w:sz w:val="22"/>
        </w:rPr>
        <w:t xml:space="preserve"> </w:t>
      </w:r>
      <w:r>
        <w:rPr>
          <w:rFonts w:ascii="Times New Roman;Times;serif" w:hAnsi="Times New Roman;Times;serif"/>
          <w:sz w:val="20"/>
        </w:rPr>
        <w:t xml:space="preserve">pre-funded warrants were exercised for an equivalent number of shares of our common stock during the first quarter of 2026. </w:t>
      </w:r>
    </w:p>
    <w:p>
      <w:pPr>
        <w:pStyle w:val="TextBody"/>
        <w:bidi w:val="0"/>
        <w:spacing w:lineRule="auto" w:line="285"/>
        <w:ind w:left="360" w:right="360" w:hanging="0"/>
        <w:jc w:val="both"/>
        <w:rPr>
          <w:rFonts w:ascii="Helvetica;sans-serif" w:hAnsi="Helvetica;sans-serif"/>
          <w:sz w:val="22"/>
        </w:rPr>
      </w:pPr>
      <w:r>
        <w:rPr>
          <w:rFonts w:ascii="Times New Roman;Times;serif" w:hAnsi="Times New Roman;Times;serif"/>
          <w:sz w:val="15"/>
        </w:rPr>
        <w:t>(4)</w:t>
      </w:r>
      <w:r>
        <w:rPr>
          <w:rFonts w:ascii="Times New Roman;Times;serif" w:hAnsi="Times New Roman;Times;serif"/>
          <w:sz w:val="20"/>
        </w:rPr>
        <w:t>These warrants are callable at our option following the release of a positive data readout for our Phase 1, Part 3 clinical trial for DA-1726 via a widely disseminated press release, subject to the satisfaction of certain conditions.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sz w:val="20"/>
        </w:rPr>
        <w:t>Stock-based compensation</w:t>
      </w:r>
      <w:r>
        <w:rPr>
          <w:rFonts w:ascii="Times New Roman;Times;serif" w:hAnsi="Times New Roman;Times;serif"/>
          <w:sz w:val="20"/>
        </w:rPr>
        <w:t xml:space="preserve"> </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Stock-based award plans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Our Amended and Restated 2022 Equity Incentive Plan (the “2022 Plan”) provides for an a</w:t>
      </w:r>
      <w:r>
        <w:rPr>
          <w:rFonts w:ascii="Times New Roman;Times;serif" w:hAnsi="Times New Roman;Times;serif"/>
          <w:sz w:val="20"/>
        </w:rPr>
        <w:t xml:space="preserve">utomatic increase on January 1st of each year for a period of eight years commencing on January 1, 2025 and ending on (and including) January 1, 2032, of the aggregate number of shares of common stock that may be issued pursuant to Awards (as defined in the 2022 Plan) to an amount equal to 10% of the Fully Diluted Shares (as defined in the 2022 Plan) as of the last day of the preceding calendar year.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rPr>
      </w:pPr>
      <w:bookmarkStart w:id="474" w:name="Tc_UJ_gtMapV0iuaVIInFxijQ_5_5"/>
      <w:bookmarkStart w:id="475" w:name="Tc_t48pLApK5UCf75vdEQY4EQ_5_2"/>
      <w:bookmarkStart w:id="476" w:name="Tc_NvpyB9g25UOyedmT3oWQqg_5_0"/>
      <w:bookmarkStart w:id="477" w:name="Tc_ppCVvnEwSU6LPZrp9orNaQ_4_0"/>
      <w:bookmarkStart w:id="478" w:name="Tc_Zn02WRX7zEmi5kL2Ji5OSg_3_5"/>
      <w:bookmarkStart w:id="479" w:name="Tc_ec_1AJ4ULEyupb-di0SEpA_3_2"/>
      <w:bookmarkStart w:id="480" w:name="Tc_K-3h20gScEyth48DchNKMw_3_0"/>
      <w:bookmarkStart w:id="481" w:name="Tc_PhQPbRNqTEyf_iGQXVyZaw_2_5"/>
      <w:bookmarkStart w:id="482" w:name="Tc_W4l-AVfzL0CranbGES8KRg_2_2"/>
      <w:bookmarkStart w:id="483" w:name="Tc_ju4LHNm61UiD4jo3u_iCsQ_1_2"/>
      <w:bookmarkStart w:id="484" w:name="_d6fad339_d66b_449f_9a17_1d1665e4e829"/>
      <w:bookmarkStart w:id="485" w:name="Tc_o5a7sIqY7UCpt_KY4Gwdng_9_15"/>
      <w:bookmarkStart w:id="486" w:name="Tc_pxGSC12PekiyJgBiIa31kQ_9_12"/>
      <w:bookmarkStart w:id="487" w:name="Tc_RuVdiBfZMUKsSSR2xUG6dA_9_7"/>
      <w:bookmarkStart w:id="488" w:name="Tc_-oZifnMRyEeL2tpg0sLeXg_9_4"/>
      <w:bookmarkStart w:id="489" w:name="Tc_D-PJywXnlU-sxAnKnegoRA_9_0"/>
      <w:bookmarkStart w:id="490" w:name="Tc_rvoxESvBW0WJd8mcDzxvvg_8_0"/>
      <w:bookmarkStart w:id="491" w:name="Tc_bR3W8WNWWECZYVoj370eBA_7_0"/>
      <w:bookmarkStart w:id="492" w:name="Tc_FHuAx5vRY0OGvbhNaRo24g_6_15"/>
      <w:bookmarkStart w:id="493" w:name="Tc_07bbDeOD60uYLfNLF9GTKQ_6_12"/>
      <w:bookmarkStart w:id="494" w:name="Tc_2pAgdiuyPkq3GmoftTkeKg_6_7"/>
      <w:bookmarkStart w:id="495" w:name="Tc_7QlWBKowj0ezfT6l3Rjefg_6_4"/>
      <w:bookmarkStart w:id="496" w:name="Tc_1XlrviFAUUm8GW4qChwgug_6_0"/>
      <w:bookmarkStart w:id="497" w:name="Tc__S5v401L7EaQA_IL_EEwlQ_5_15"/>
      <w:bookmarkStart w:id="498" w:name="Tc_tMqW_NyxtkOKFN5mxzh54A_5_12"/>
      <w:bookmarkStart w:id="499" w:name="Tc_lS2-nOFa0ke5uWis_8__zw_5_10"/>
      <w:bookmarkStart w:id="500" w:name="Tc_nT8S-2hCK0GUvB2dqtbDHA_5_7"/>
      <w:bookmarkStart w:id="501" w:name="Tc_6WZjTcYDeU683-Kd4gAjjg_5_4"/>
      <w:bookmarkStart w:id="502" w:name="Tc_kac_eFLxUEGjRbDLE76BAA_5_2"/>
      <w:bookmarkStart w:id="503" w:name="Tc_rAgspEweT0q4PYa5U-f-0g_4_15"/>
      <w:bookmarkStart w:id="504" w:name="Tc__dcW27bplkOLihiBa5ebFg_4_12"/>
      <w:bookmarkStart w:id="505" w:name="Tc_yvL9koBXBECGMA0tEGMYhQ_4_10"/>
      <w:bookmarkStart w:id="506" w:name="Tc_xlAShjk2nU-dgEedPa--yA_4_7"/>
      <w:bookmarkStart w:id="507" w:name="Tc_ee8IwuLeOEW8BtCTUe_xaA_4_4"/>
      <w:bookmarkStart w:id="508" w:name="Tc_FcsKm_xgZ02iJGCiRFn2Tw_4_2"/>
      <w:bookmarkStart w:id="509" w:name="Tc_zqS6qA7s60WwFf1z-3bg2A_3_15"/>
      <w:bookmarkStart w:id="510" w:name="Tc_8SQ5ESnj-E65p7_V0eub4A_3_12"/>
      <w:bookmarkStart w:id="511" w:name="Tc_Kyr_wdxUn0SORxsAFOqAtg_3_10"/>
      <w:bookmarkStart w:id="512" w:name="Tc_IBNwqnoKLEC3IwzdVXcRrA_3_7"/>
      <w:bookmarkStart w:id="513" w:name="Tc_waoT85-gX06-ZYPBP-9kJw_3_4"/>
      <w:bookmarkStart w:id="514" w:name="Tc_2a0Y48wUwkiQA-aa2w3Eew_3_2"/>
      <w:bookmarkStart w:id="515" w:name="Tc_L8yPA27a10ue7RI4egzbSg_2_12"/>
      <w:bookmarkStart w:id="516" w:name="Tc_IzkYK4lW7kG-C111bwZ00Q_2_10"/>
      <w:bookmarkStart w:id="517" w:name="Tc_CbaPAuM1VEmrCjIV6ERI8A_2_4"/>
      <w:bookmarkStart w:id="518" w:name="Tc__IyiJni0OEakhVxJrSFDeg_2_2"/>
      <w:bookmarkStart w:id="519" w:name="Tc_bW5eA1fb20af88kM0XvnmQ_1_10"/>
      <w:bookmarkStart w:id="520" w:name="Tc_730iILvZc0icpMObcAIO-Q_1_2"/>
      <w:bookmarkStart w:id="521" w:name="_d4532a9d_4a2e_4180_81a7_9c58a15f588c"/>
      <w:bookmarkStart w:id="522" w:name="Tc_zjeTYhR4ME-c7jTTX2h9DQ_7_0"/>
      <w:bookmarkStart w:id="523" w:name="Tc_tqPsde-RpkK7xgP1cixEgw_6_4"/>
      <w:bookmarkStart w:id="524" w:name="Tc_koJPPOw6SEaqQ1SoVQdk3g_6_2"/>
      <w:bookmarkStart w:id="525" w:name="Tc_7CWtp7R-f0-6hYrh_jVEFQ_6_0"/>
      <w:bookmarkStart w:id="526" w:name="Tc_KH2RXyrHuk6YJiyZrw4W8A_5_0"/>
      <w:bookmarkStart w:id="527" w:name="Tc_x21ipRSun0e2mQT88aJEiw_4_6"/>
      <w:bookmarkStart w:id="528" w:name="Tc_6njTmnn0l0GIIQbCuCnomA_4_4"/>
      <w:bookmarkStart w:id="529" w:name="Tc_4l-sH0x0WkKE8vtbgNWy8w_4_0"/>
      <w:bookmarkStart w:id="530" w:name="Tc_SDCrawNEvUaH-jk_Ipa6mA_3_6"/>
      <w:bookmarkStart w:id="531" w:name="Tc_8t8V_UlxbEqq2PKx1sDlSg_3_4"/>
      <w:bookmarkStart w:id="532" w:name="Tc_8Rk603DhnkGCAVGEaOS1Iw_3_2"/>
      <w:bookmarkStart w:id="533" w:name="Tc_8X_UXPz9IkmZqh77kUyTog_3_0"/>
      <w:bookmarkStart w:id="534" w:name="Tc_9OYeV25-mESeXvfsKDwCYQ_2_6"/>
      <w:bookmarkStart w:id="535" w:name="Tc__L7q9k16aUCNBW8oOYZJrg_2_2"/>
      <w:bookmarkStart w:id="536" w:name="Tc_4gOwwgfXj0ibdilFkTlqbw_1_6"/>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Pr>
          <w:rFonts w:ascii="Times New Roman;Times;serif" w:hAnsi="Times New Roman;Times;serif"/>
          <w:sz w:val="20"/>
        </w:rPr>
        <w:t xml:space="preserve">Accordingly, in January 2026, the 2022 Plan automatically increased the aggregate number of shares of common stock that may be issued pursuant to Awards by 94,236 shares. </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the outstanding awards issued pursuant to our stock-based award plans and inducement plan as of March 31, 2026 and the remaining shares of common stock available for future issuance:</w:t>
      </w:r>
    </w:p>
    <w:p>
      <w:pPr>
        <w:pStyle w:val="TextBody"/>
        <w:bidi w:val="0"/>
        <w:spacing w:lineRule="auto" w:line="285" w:before="0" w:after="0"/>
        <w:ind w:left="0" w:right="0" w:hanging="0"/>
        <w:jc w:val="left"/>
        <w:rPr/>
      </w:pPr>
      <w:r>
        <w:rPr/>
        <w:t>​</w:t>
      </w:r>
    </w:p>
    <w:tbl>
      <w:tblPr>
        <w:tblW w:w="5941" w:type="dxa"/>
        <w:jc w:val="left"/>
        <w:tblInd w:w="0" w:type="dxa"/>
        <w:tblLayout w:type="fixed"/>
        <w:tblCellMar>
          <w:top w:w="0" w:type="dxa"/>
          <w:left w:w="0" w:type="dxa"/>
          <w:bottom w:w="0" w:type="dxa"/>
          <w:right w:w="0" w:type="dxa"/>
        </w:tblCellMar>
      </w:tblPr>
      <w:tblGrid>
        <w:gridCol w:w="1951"/>
        <w:gridCol w:w="109"/>
        <w:gridCol w:w="751"/>
        <w:gridCol w:w="109"/>
        <w:gridCol w:w="781"/>
        <w:gridCol w:w="109"/>
        <w:gridCol w:w="21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38885" cy="175260"/>
                      <wp:effectExtent l="0" t="0" r="0" b="0"/>
                      <wp:wrapNone/>
                      <wp:docPr id="80" name="Frame7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76885" cy="175260"/>
                      <wp:effectExtent l="0" t="0" r="0" b="0"/>
                      <wp:wrapNone/>
                      <wp:docPr id="82" name="Frame8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1" w:type="dxa"/>
            <w:tcBorders/>
            <w:vAlign w:val="center"/>
          </w:tcPr>
          <w:p>
            <w:pPr>
              <w:pStyle w:val="TableContents"/>
              <w:bidi w:val="0"/>
              <w:spacing w:lineRule="auto" w:line="285" w:before="0" w:after="0"/>
              <w:ind w:left="0" w:right="0" w:hanging="0"/>
              <w:jc w:val="left"/>
              <w:rPr/>
            </w:pPr>
            <w:r>
              <w:rPr/>
              <w:t>​</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Remaining shares of</w:t>
            </w:r>
          </w:p>
        </w:tc>
      </w:tr>
      <w:tr>
        <w:trPr/>
        <w:tc>
          <w:tcPr>
            <w:tcW w:w="19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7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Stock</w:t>
            </w:r>
          </w:p>
        </w:tc>
        <w:tc>
          <w:tcPr>
            <w:tcW w:w="109"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available</w:t>
            </w:r>
          </w:p>
        </w:tc>
      </w:tr>
      <w:tr>
        <w:trPr/>
        <w:tc>
          <w:tcPr>
            <w:tcW w:w="19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Plan Name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future issuance</w:t>
            </w:r>
          </w:p>
        </w:tc>
      </w:tr>
      <w:tr>
        <w:trPr/>
        <w:tc>
          <w:tcPr>
            <w:tcW w:w="19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2019 Plan</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31" w:type="dxa"/>
            <w:tcBorders/>
            <w:shd w:fill="CCEEFF" w:val="clear"/>
            <w:vAlign w:val="center"/>
          </w:tcPr>
          <w:p>
            <w:pPr>
              <w:pStyle w:val="TableContents"/>
              <w:bidi w:val="0"/>
              <w:spacing w:lineRule="auto" w:line="285" w:before="0" w:after="0"/>
              <w:ind w:left="0" w:right="0" w:hanging="0"/>
              <w:jc w:val="right"/>
              <w:rPr/>
            </w:pPr>
            <w:r>
              <w:rPr/>
              <w:t>—</w:t>
            </w:r>
          </w:p>
        </w:tc>
      </w:tr>
      <w:tr>
        <w:trPr/>
        <w:tc>
          <w:tcPr>
            <w:tcW w:w="195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2022 Plan</w:t>
            </w:r>
          </w:p>
        </w:tc>
        <w:tc>
          <w:tcPr>
            <w:tcW w:w="109" w:type="dxa"/>
            <w:tcBorders/>
            <w:vAlign w:val="center"/>
          </w:tcPr>
          <w:p>
            <w:pPr>
              <w:pStyle w:val="TableContents"/>
              <w:bidi w:val="0"/>
              <w:spacing w:lineRule="auto" w:line="285" w:before="0" w:after="0"/>
              <w:ind w:left="0" w:right="0" w:hanging="0"/>
              <w:jc w:val="right"/>
              <w:rPr/>
            </w:pPr>
            <w:r>
              <w:rPr/>
              <w:t>​</w:t>
            </w:r>
          </w:p>
        </w:tc>
        <w:tc>
          <w:tcPr>
            <w:tcW w:w="7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109" w:type="dxa"/>
            <w:tcBorders/>
            <w:vAlign w:val="center"/>
          </w:tcPr>
          <w:p>
            <w:pPr>
              <w:pStyle w:val="TableContents"/>
              <w:bidi w:val="0"/>
              <w:spacing w:lineRule="auto" w:line="285" w:before="0" w:after="0"/>
              <w:ind w:left="0" w:right="0" w:hanging="0"/>
              <w:jc w:val="righ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138,613</w:t>
            </w:r>
          </w:p>
        </w:tc>
        <w:tc>
          <w:tcPr>
            <w:tcW w:w="109" w:type="dxa"/>
            <w:tcBorders/>
            <w:vAlign w:val="center"/>
          </w:tcPr>
          <w:p>
            <w:pPr>
              <w:pStyle w:val="TableContents"/>
              <w:bidi w:val="0"/>
              <w:spacing w:lineRule="auto" w:line="285" w:before="0" w:after="0"/>
              <w:ind w:left="0" w:right="0" w:hanging="0"/>
              <w:jc w:val="right"/>
              <w:rPr/>
            </w:pPr>
            <w:r>
              <w:rPr/>
              <w:t>​</w:t>
            </w:r>
          </w:p>
        </w:tc>
        <w:tc>
          <w:tcPr>
            <w:tcW w:w="21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150,845</w:t>
            </w:r>
          </w:p>
        </w:tc>
      </w:tr>
      <w:tr>
        <w:trPr/>
        <w:tc>
          <w:tcPr>
            <w:tcW w:w="1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2021 Inducement Plan</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1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19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138,613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131"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151,223</w:t>
            </w:r>
          </w:p>
        </w:tc>
      </w:tr>
    </w:tbl>
    <w:p>
      <w:pPr>
        <w:pStyle w:val="TextBody"/>
        <w:bidi w:val="0"/>
        <w:spacing w:lineRule="auto" w:line="285" w:before="0" w:after="0"/>
        <w:ind w:left="0" w:right="0" w:hanging="0"/>
        <w:jc w:val="left"/>
        <w:rPr/>
      </w:pPr>
      <w:r>
        <w:rPr/>
        <w:t>​</w:t>
      </w:r>
    </w:p>
    <w:p>
      <w:pPr>
        <w:pStyle w:val="TextBody"/>
        <w:pBdr/>
        <w:bidi w:val="0"/>
        <w:spacing w:lineRule="auto" w:line="285" w:before="160" w:after="0"/>
        <w:ind w:left="0" w:right="0" w:hanging="0"/>
        <w:jc w:val="both"/>
        <w:rPr>
          <w:rFonts w:ascii="Times New Roman;Times;serif" w:hAnsi="Times New Roman;Times;serif"/>
          <w:i/>
          <w:sz w:val="20"/>
        </w:rPr>
      </w:pPr>
      <w:r>
        <w:rPr>
          <w:rFonts w:ascii="Times New Roman;Times;serif" w:hAnsi="Times New Roman;Times;serif"/>
          <w:i/>
          <w:sz w:val="20"/>
        </w:rPr>
        <w:t>Restricted Stock Units</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status of our outstanding restricted stock units (“RSUs”) and related transactions for the period presented, as well as our vested and deferred release RSUs as of January 1, 2026 and March 31, 2026 (in thousands, except share and per share amounts):</w:t>
      </w:r>
    </w:p>
    <w:p>
      <w:pPr>
        <w:pStyle w:val="TextBody"/>
        <w:shd w:fill="FFFFFF" w:val="clear"/>
        <w:bidi w:val="0"/>
        <w:spacing w:lineRule="auto" w:line="285" w:before="100" w:after="100"/>
        <w:ind w:left="0" w:right="0" w:hanging="0"/>
        <w:jc w:val="both"/>
        <w:rPr/>
      </w:pPr>
      <w:r>
        <w:rPr/>
        <w:t>​</w:t>
      </w:r>
    </w:p>
    <w:tbl>
      <w:tblPr>
        <w:tblW w:w="9149" w:type="dxa"/>
        <w:jc w:val="left"/>
        <w:tblInd w:w="0" w:type="dxa"/>
        <w:tblLayout w:type="fixed"/>
        <w:tblCellMar>
          <w:top w:w="0" w:type="dxa"/>
          <w:left w:w="0" w:type="dxa"/>
          <w:bottom w:w="0" w:type="dxa"/>
          <w:right w:w="0" w:type="dxa"/>
        </w:tblCellMar>
      </w:tblPr>
      <w:tblGrid>
        <w:gridCol w:w="1876"/>
        <w:gridCol w:w="109"/>
        <w:gridCol w:w="1366"/>
        <w:gridCol w:w="109"/>
        <w:gridCol w:w="263"/>
        <w:gridCol w:w="712"/>
        <w:gridCol w:w="109"/>
        <w:gridCol w:w="315"/>
        <w:gridCol w:w="631"/>
        <w:gridCol w:w="109"/>
        <w:gridCol w:w="1366"/>
        <w:gridCol w:w="109"/>
        <w:gridCol w:w="263"/>
        <w:gridCol w:w="712"/>
        <w:gridCol w:w="109"/>
        <w:gridCol w:w="365"/>
        <w:gridCol w:w="62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191260" cy="175260"/>
                      <wp:effectExtent l="0" t="0" r="0" b="0"/>
                      <wp:wrapNone/>
                      <wp:docPr id="86" name="Frame85"/>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867410" cy="175260"/>
                      <wp:effectExtent l="0" t="0" r="0" b="0"/>
                      <wp:wrapNone/>
                      <wp:docPr id="88" name="Frame8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67005" cy="175260"/>
                      <wp:effectExtent l="0" t="0" r="0" b="0"/>
                      <wp:wrapNone/>
                      <wp:docPr id="90" name="Frame89"/>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52120" cy="175260"/>
                      <wp:effectExtent l="0" t="0" r="0" b="0"/>
                      <wp:wrapNone/>
                      <wp:docPr id="91" name="Frame90"/>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025" cy="175260"/>
                      <wp:effectExtent l="0" t="0" r="0" b="0"/>
                      <wp:wrapNone/>
                      <wp:docPr id="93" name="Frame9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00685" cy="175260"/>
                      <wp:effectExtent l="0" t="0" r="0" b="0"/>
                      <wp:wrapNone/>
                      <wp:docPr id="94" name="Frame9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867410" cy="175260"/>
                      <wp:effectExtent l="0" t="0" r="0" b="0"/>
                      <wp:wrapNone/>
                      <wp:docPr id="96" name="Frame95"/>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7005" cy="175260"/>
                      <wp:effectExtent l="0" t="0" r="0" b="0"/>
                      <wp:wrapNone/>
                      <wp:docPr id="98" name="Frame97"/>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52120" cy="175260"/>
                      <wp:effectExtent l="0" t="0" r="0" b="0"/>
                      <wp:wrapNone/>
                      <wp:docPr id="99" name="Frame98"/>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1775" cy="175260"/>
                      <wp:effectExtent l="0" t="0" r="0" b="0"/>
                      <wp:wrapNone/>
                      <wp:docPr id="101" name="Frame100"/>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7510" cy="175260"/>
                      <wp:effectExtent l="0" t="0" r="0" b="0"/>
                      <wp:wrapNone/>
                      <wp:docPr id="102" name="Frame10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505" w:type="dxa"/>
            <w:gridSpan w:val="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550" w:type="dxa"/>
            <w:gridSpan w:val="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Vested and Deferred Release</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Shares of</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Shares of</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pPr>
            <w:r>
              <w:rPr/>
              <w:t>​</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Grant Date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Grant Date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Issuable</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109" w:type="dxa"/>
            <w:tcBorders/>
            <w:vAlign w:val="center"/>
          </w:tcPr>
          <w:p>
            <w:pPr>
              <w:pStyle w:val="TableContents"/>
              <w:bidi w:val="0"/>
              <w:spacing w:lineRule="auto" w:line="285" w:before="0" w:after="0"/>
              <w:ind w:left="0" w:right="0" w:hanging="0"/>
              <w:jc w:val="center"/>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109" w:type="dxa"/>
            <w:tcBorders/>
            <w:vAlign w:val="center"/>
          </w:tcPr>
          <w:p>
            <w:pPr>
              <w:pStyle w:val="TableContents"/>
              <w:bidi w:val="0"/>
              <w:spacing w:lineRule="auto" w:line="285" w:before="0" w:after="0"/>
              <w:ind w:left="0" w:right="0" w:hanging="0"/>
              <w:jc w:val="center"/>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Issuable</w:t>
            </w:r>
          </w:p>
        </w:tc>
        <w:tc>
          <w:tcPr>
            <w:tcW w:w="109" w:type="dxa"/>
            <w:tcBorders/>
            <w:vAlign w:val="center"/>
          </w:tcPr>
          <w:p>
            <w:pPr>
              <w:pStyle w:val="TableContents"/>
              <w:bidi w:val="0"/>
              <w:spacing w:lineRule="auto" w:line="285" w:before="0" w:after="0"/>
              <w:ind w:left="0" w:right="0" w:hanging="0"/>
              <w:jc w:val="center"/>
              <w:rPr/>
            </w:pPr>
            <w:r>
              <w:rPr/>
              <w:t>​</w:t>
            </w:r>
          </w:p>
        </w:tc>
        <w:tc>
          <w:tcPr>
            <w:tcW w:w="97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109" w:type="dxa"/>
            <w:tcBorders/>
            <w:vAlign w:val="center"/>
          </w:tcPr>
          <w:p>
            <w:pPr>
              <w:pStyle w:val="TableContents"/>
              <w:bidi w:val="0"/>
              <w:spacing w:lineRule="auto" w:line="285" w:before="0" w:after="0"/>
              <w:ind w:left="0" w:right="0" w:hanging="0"/>
              <w:jc w:val="center"/>
              <w:rPr/>
            </w:pPr>
            <w:r>
              <w:rPr/>
              <w:t>​</w:t>
            </w:r>
          </w:p>
        </w:tc>
        <w:tc>
          <w:tcPr>
            <w:tcW w:w="99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Intrinsic</w:t>
            </w:r>
          </w:p>
        </w:tc>
      </w:tr>
      <w:tr>
        <w:trPr/>
        <w:tc>
          <w:tcPr>
            <w:tcW w:w="18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RSUs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January 1, 2026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29,295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6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109"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111,000</w:t>
            </w:r>
          </w:p>
        </w:tc>
        <w:tc>
          <w:tcPr>
            <w:tcW w:w="109" w:type="dxa"/>
            <w:tcBorders/>
            <w:vAlign w:val="center"/>
          </w:tcPr>
          <w:p>
            <w:pPr>
              <w:pStyle w:val="TableContents"/>
              <w:bidi w:val="0"/>
              <w:spacing w:lineRule="auto" w:line="285" w:before="0" w:after="0"/>
              <w:ind w:left="0" w:right="0" w:hanging="0"/>
              <w:jc w:val="righ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71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109" w:type="dxa"/>
            <w:tcBorders/>
            <w:vAlign w:val="center"/>
          </w:tcPr>
          <w:p>
            <w:pPr>
              <w:pStyle w:val="TableContents"/>
              <w:bidi w:val="0"/>
              <w:spacing w:lineRule="auto" w:line="285" w:before="0" w:after="0"/>
              <w:ind w:left="0" w:right="0" w:hanging="0"/>
              <w:jc w:val="right"/>
              <w:rPr/>
            </w:pPr>
            <w:r>
              <w:rPr/>
              <w:t>​</w:t>
            </w:r>
          </w:p>
        </w:tc>
        <w:tc>
          <w:tcPr>
            <w:tcW w:w="315"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1366"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63" w:type="dxa"/>
            <w:tcBorders/>
            <w:vAlign w:val="center"/>
          </w:tcPr>
          <w:p>
            <w:pPr>
              <w:pStyle w:val="TableContents"/>
              <w:bidi w:val="0"/>
              <w:spacing w:lineRule="auto" w:line="285" w:before="0" w:after="0"/>
              <w:ind w:left="0" w:right="0" w:hanging="0"/>
              <w:jc w:val="left"/>
              <w:rPr/>
            </w:pPr>
            <w:r>
              <w:rPr/>
              <w:t>​</w:t>
            </w:r>
          </w:p>
        </w:tc>
        <w:tc>
          <w:tcPr>
            <w:tcW w:w="712"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626" w:type="dxa"/>
            <w:tcBorders/>
            <w:vAlign w:val="center"/>
          </w:tcPr>
          <w:p>
            <w:pPr>
              <w:pStyle w:val="TableContents"/>
              <w:bidi w:val="0"/>
              <w:spacing w:lineRule="auto" w:line="285" w:before="0" w:after="0"/>
              <w:ind w:left="0" w:right="0" w:hanging="0"/>
              <w:jc w:val="right"/>
              <w:rPr/>
            </w:pPr>
            <w:r>
              <w:rPr/>
              <w:t>​</w:t>
            </w:r>
          </w:p>
        </w:tc>
      </w:tr>
      <w:tr>
        <w:trPr/>
        <w:tc>
          <w:tcPr>
            <w:tcW w:w="18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Vested and released</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3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r>
      <w:tr>
        <w:trPr/>
        <w:tc>
          <w:tcPr>
            <w:tcW w:w="187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March 31, 2026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138,613</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1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3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6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43.85</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4</w:t>
            </w:r>
          </w:p>
        </w:tc>
      </w:tr>
    </w:tbl>
    <w:p>
      <w:pPr>
        <w:pStyle w:val="TextBody"/>
        <w:bidi w:val="0"/>
        <w:spacing w:lineRule="auto" w:line="285" w:before="0" w:after="0"/>
        <w:ind w:left="0" w:right="0" w:hanging="0"/>
        <w:jc w:val="left"/>
        <w:rPr/>
      </w:pPr>
      <w:r>
        <w:rPr/>
        <w:t>​</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expense was included in G&amp;A operating expense and research and development operating expense as follows </w:t>
      </w:r>
      <w:r>
        <w:rPr>
          <w:rFonts w:ascii="Times New Roman;Times;serif" w:hAnsi="Times New Roman;Times;serif"/>
          <w:sz w:val="20"/>
          <w:shd w:fill="FFFFFF" w:val="clear"/>
        </w:rPr>
        <w:t>(in thousands)</w:t>
      </w:r>
      <w:r>
        <w:rPr>
          <w:rFonts w:ascii="Times New Roman;Times;serif" w:hAnsi="Times New Roman;Times;serif"/>
          <w:sz w:val="20"/>
        </w:rPr>
        <w:t>:</w:t>
      </w:r>
    </w:p>
    <w:tbl>
      <w:tblPr>
        <w:tblW w:w="5584" w:type="dxa"/>
        <w:jc w:val="left"/>
        <w:tblInd w:w="0" w:type="dxa"/>
        <w:tblLayout w:type="fixed"/>
        <w:tblCellMar>
          <w:top w:w="0" w:type="dxa"/>
          <w:left w:w="0" w:type="dxa"/>
          <w:bottom w:w="0" w:type="dxa"/>
          <w:right w:w="0" w:type="dxa"/>
        </w:tblCellMar>
      </w:tblPr>
      <w:tblGrid>
        <w:gridCol w:w="2746"/>
        <w:gridCol w:w="109"/>
        <w:gridCol w:w="387"/>
        <w:gridCol w:w="772"/>
        <w:gridCol w:w="200"/>
        <w:gridCol w:w="387"/>
        <w:gridCol w:w="983"/>
      </w:tblGrid>
      <w:tr>
        <w:trPr/>
        <w:tc>
          <w:tcPr>
            <w:tcW w:w="27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5745" cy="175260"/>
                      <wp:effectExtent l="0" t="0" r="0" b="0"/>
                      <wp:wrapNone/>
                      <wp:docPr id="104" name="Frame103"/>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0220" cy="175260"/>
                      <wp:effectExtent l="0" t="0" r="0" b="0"/>
                      <wp:wrapNone/>
                      <wp:docPr id="105" name="Frame104"/>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7000" cy="175260"/>
                      <wp:effectExtent l="0" t="0" r="0" b="0"/>
                      <wp:wrapNone/>
                      <wp:docPr id="106" name="Frame105"/>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45745" cy="175260"/>
                      <wp:effectExtent l="0" t="0" r="0" b="0"/>
                      <wp:wrapNone/>
                      <wp:docPr id="107" name="Frame106"/>
                      <a:graphic xmlns:a="http://schemas.openxmlformats.org/drawingml/2006/main">
                        <a:graphicData uri="http://schemas.microsoft.com/office/word/2010/wordprocessingShape">
                          <wps:wsp>
                            <wps:cNvSpPr txBox="1"/>
                            <wps:spPr>
                              <a:xfrm>
                                <a:off x="0" y="0"/>
                                <a:ext cx="2457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24205" cy="175260"/>
                      <wp:effectExtent l="0" t="0" r="0" b="0"/>
                      <wp:wrapNone/>
                      <wp:docPr id="108" name="Frame107"/>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27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27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200" w:type="dxa"/>
            <w:tcBorders/>
            <w:shd w:fill="CCEEFF" w:val="clear"/>
            <w:vAlign w:val="center"/>
          </w:tcPr>
          <w:p>
            <w:pPr>
              <w:pStyle w:val="TableContents"/>
              <w:bidi w:val="0"/>
              <w:spacing w:lineRule="auto" w:line="285" w:before="0" w:after="0"/>
              <w:ind w:left="0" w:right="0" w:hanging="0"/>
              <w:jc w:val="right"/>
              <w:rPr/>
            </w:pPr>
            <w:r>
              <w:rPr/>
              <w:t>​</w:t>
            </w:r>
          </w:p>
        </w:tc>
        <w:tc>
          <w:tcPr>
            <w:tcW w:w="3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27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7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132</w:t>
            </w:r>
          </w:p>
        </w:tc>
      </w:tr>
    </w:tbl>
    <w:p>
      <w:pPr>
        <w:pStyle w:val="TextBody"/>
        <w:bidi w:val="0"/>
        <w:spacing w:lineRule="auto" w:line="285" w:before="0" w:after="0"/>
        <w:ind w:left="0" w:right="0" w:hanging="0"/>
        <w:jc w:val="left"/>
        <w:rPr/>
      </w:pPr>
      <w:r>
        <w:rPr/>
        <w:t>​</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For stock-based awards granted under our stock-based award plans as of March 31, 2026, unrecognized stock-based compensation costs totaled $0.5 million. The unrecognized stock-based costs are expected to be recognized as an expense over a weighted average period of 1.5 years.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806" w:hanging="0"/>
        <w:jc w:val="both"/>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537" w:name="Tc_7Qb3WNVUwUe9awrapLHnUA_22_5"/>
      <w:bookmarkStart w:id="538" w:name="Tc_5g7U-HRU80yGZD2VgpZARg_22_2"/>
      <w:bookmarkStart w:id="539" w:name="Tc_AYIOao4Puk-b5KjdRmpj2g_22_0"/>
      <w:bookmarkStart w:id="540" w:name="Tc_VND2JuVaik-1yK589Btbfw_21_0"/>
      <w:bookmarkStart w:id="541" w:name="Tc_U4yJqekrZEKDSIjXnlHtDg_20_0"/>
      <w:bookmarkStart w:id="542" w:name="Tc_IEFBlTCmLEyMaOhss3_-iQ_19_0"/>
      <w:bookmarkStart w:id="543" w:name="Tc_Uzu6YpbJ-E6KVJepMYB9vg_18_0"/>
      <w:bookmarkStart w:id="544" w:name="Tc_xiD0AyBJK02O5VpAMpD45w_17_0"/>
      <w:bookmarkStart w:id="545" w:name="Tc_Zmlc9HI6HkSlTYTmoA14hQ_16_0"/>
      <w:bookmarkStart w:id="546" w:name="Tc_3FKzNtUSZU26b7A5NG_Png_15_0"/>
      <w:bookmarkStart w:id="547" w:name="Tc_jE5_Zswet0-cc9m7v9WXZQ_14_0"/>
      <w:bookmarkStart w:id="548" w:name="Tc_DOoynL5FbE-_E-eCIdEPnA_13_0"/>
      <w:bookmarkStart w:id="549" w:name="Tc_RGjsVaXSe06Vl_ftcyCsLQ_12_0"/>
      <w:bookmarkStart w:id="550" w:name="Tc_XIWzBCBqy0ii4jcsSMK76g_11_0"/>
      <w:bookmarkStart w:id="551" w:name="Tc_rf8IvQ1hrUS5i9XYpkn8vg_10_0"/>
      <w:bookmarkStart w:id="552" w:name="Tc_MLvKHyl5R0yfGIACE2oWbw_9_0"/>
      <w:bookmarkStart w:id="553" w:name="Tc_zIAjy2rad02mQwLP90v9xg_8_0"/>
      <w:bookmarkStart w:id="554" w:name="Tc_4hFx_L_PxUCKX6kJ27Z-DQ_7_0"/>
      <w:bookmarkStart w:id="555" w:name="Tc_Q9PGfJt8g0SaG1YFdV5Rqw_6_5"/>
      <w:bookmarkStart w:id="556" w:name="Tc_6-1CIedMSUm5e5GriD25sg_6_2"/>
      <w:bookmarkStart w:id="557" w:name="Tc_SnUytKnfx0-BQECJbmg9_Q_6_0"/>
      <w:bookmarkStart w:id="558" w:name="Tc_FpxSbgGeFECk4RSiwj_yuw_5_0"/>
      <w:bookmarkStart w:id="559" w:name="Tc_C8h5aisPZEG7x_2OBf2ppw_4_0"/>
      <w:bookmarkStart w:id="560" w:name="Tc_5RH1znVb9E2kY2z6v_RCnQ_3_0"/>
      <w:bookmarkStart w:id="561" w:name="Tc_30krmbxXWUeUm25n2T9kFw_2_5"/>
      <w:bookmarkStart w:id="562" w:name="Tc_FvGjM8GYQUCdwKFyhTFN8g_2_2"/>
      <w:bookmarkStart w:id="563" w:name="Tc_zsMRpLgFPEWeCxDTh_MOkg_1_2"/>
      <w:bookmarkStart w:id="564" w:name="_5403a1a9_ab5d_4923_a608_6e3681bc7c37"/>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Fonts w:ascii="Times New Roman;Times;serif" w:hAnsi="Times New Roman;Times;serif"/>
          <w:b/>
          <w:i w:val="false"/>
          <w:caps w:val="false"/>
          <w:smallCaps w:val="false"/>
          <w:sz w:val="20"/>
        </w:rPr>
        <w:t>8.</w:t>
      </w:r>
      <w:r>
        <w:rPr>
          <w:rFonts w:ascii="Times New Roman;Times;serif" w:hAnsi="Times New Roman;Times;serif"/>
          <w:b/>
          <w:sz w:val="20"/>
        </w:rPr>
        <w:t>Significant segment expenses and loss before income taxes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color w:val="212529"/>
          <w:spacing w:val="4"/>
          <w:sz w:val="20"/>
        </w:rPr>
        <w:t xml:space="preserve">The following table sets forth the significant segment expenses for our one </w:t>
      </w:r>
      <w:r>
        <w:rPr>
          <w:rFonts w:ascii="Times New Roman;Times;serif" w:hAnsi="Times New Roman;Times;serif"/>
          <w:sz w:val="20"/>
        </w:rPr>
        <w:t>reportable segment (in thousands):</w:t>
      </w:r>
    </w:p>
    <w:tbl>
      <w:tblPr>
        <w:tblW w:w="6690" w:type="dxa"/>
        <w:jc w:val="left"/>
        <w:tblInd w:w="0" w:type="dxa"/>
        <w:tblLayout w:type="fixed"/>
        <w:tblCellMar>
          <w:top w:w="0" w:type="dxa"/>
          <w:left w:w="0" w:type="dxa"/>
          <w:bottom w:w="0" w:type="dxa"/>
          <w:right w:w="0" w:type="dxa"/>
        </w:tblCellMar>
      </w:tblPr>
      <w:tblGrid>
        <w:gridCol w:w="3616"/>
        <w:gridCol w:w="346"/>
        <w:gridCol w:w="262"/>
        <w:gridCol w:w="859"/>
        <w:gridCol w:w="430"/>
        <w:gridCol w:w="262"/>
        <w:gridCol w:w="915"/>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296160" cy="175260"/>
                      <wp:effectExtent l="0" t="0" r="0" b="0"/>
                      <wp:wrapNone/>
                      <wp:docPr id="109" name="Frame108"/>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6370" cy="175260"/>
                      <wp:effectExtent l="0" t="0" r="0" b="0"/>
                      <wp:wrapNone/>
                      <wp:docPr id="111" name="Frame11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45465" cy="175260"/>
                      <wp:effectExtent l="0" t="0" r="0" b="0"/>
                      <wp:wrapNone/>
                      <wp:docPr id="112" name="Frame11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73050" cy="175260"/>
                      <wp:effectExtent l="0" t="0" r="0" b="0"/>
                      <wp:wrapNone/>
                      <wp:docPr id="113" name="Frame11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66370" cy="175260"/>
                      <wp:effectExtent l="0" t="0" r="0" b="0"/>
                      <wp:wrapNone/>
                      <wp:docPr id="114" name="Frame113"/>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81025" cy="175260"/>
                      <wp:effectExtent l="0" t="0" r="0" b="0"/>
                      <wp:wrapNone/>
                      <wp:docPr id="115" name="Frame114"/>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43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left"/>
              <w:rPr/>
            </w:pPr>
            <w:r>
              <w:rPr/>
              <w:t>​</w:t>
            </w:r>
          </w:p>
        </w:tc>
        <w:tc>
          <w:tcPr>
            <w:tcW w:w="430" w:type="dxa"/>
            <w:tcBorders/>
            <w:shd w:fill="CCEEFF" w:val="clear"/>
            <w:vAlign w:val="center"/>
          </w:tcPr>
          <w:p>
            <w:pPr>
              <w:pStyle w:val="TableContents"/>
              <w:bidi w:val="0"/>
              <w:spacing w:lineRule="auto" w:line="285" w:before="0" w:after="0"/>
              <w:ind w:left="0" w:right="0" w:hanging="0"/>
              <w:jc w:val="left"/>
              <w:rPr/>
            </w:pPr>
            <w:r>
              <w:rPr/>
              <w:t>  ​ ​ ​</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pPr>
            <w:r>
              <w:rPr/>
              <w:t>​</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left"/>
              <w:rPr/>
            </w:pPr>
            <w:r>
              <w:rPr/>
              <w:t>​</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right"/>
              <w:rPr/>
            </w:pPr>
            <w:r>
              <w:rPr/>
              <w:t>​</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Vanoglipel costs</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DA-1726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1,479</w:t>
            </w:r>
          </w:p>
        </w:tc>
      </w:tr>
      <w:tr>
        <w:trPr/>
        <w:tc>
          <w:tcPr>
            <w:tcW w:w="361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R&amp;D costs </w:t>
            </w:r>
            <w:r>
              <w:rPr>
                <w:rFonts w:ascii="Times New Roman;Times;serif" w:hAnsi="Times New Roman;Times;serif"/>
                <w:sz w:val="15"/>
              </w:rPr>
              <w:t>(1)</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Indirect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right"/>
              <w:rPr/>
            </w:pPr>
            <w:r>
              <w:rPr/>
              <w:t>​</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 costs</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expenses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43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2,327</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right"/>
              <w:rPr/>
            </w:pPr>
            <w:r>
              <w:rPr/>
              <w:t>​</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833</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430" w:type="dxa"/>
            <w:tcBorders/>
            <w:shd w:fill="CCEEFF" w:val="clear"/>
            <w:vAlign w:val="center"/>
          </w:tcPr>
          <w:p>
            <w:pPr>
              <w:pStyle w:val="TableContents"/>
              <w:bidi w:val="0"/>
              <w:spacing w:lineRule="auto" w:line="285" w:before="0" w:after="0"/>
              <w:ind w:left="0" w:right="0" w:hanging="0"/>
              <w:jc w:val="left"/>
              <w:rPr/>
            </w:pPr>
            <w:r>
              <w:rPr/>
              <w:t>​</w:t>
            </w:r>
          </w:p>
        </w:tc>
        <w:tc>
          <w:tcPr>
            <w:tcW w:w="262" w:type="dxa"/>
            <w:tcBorders/>
            <w:shd w:fill="CCEEFF" w:val="clear"/>
            <w:vAlign w:val="center"/>
          </w:tcPr>
          <w:p>
            <w:pPr>
              <w:pStyle w:val="TableContents"/>
              <w:bidi w:val="0"/>
              <w:spacing w:lineRule="auto" w:line="285" w:before="0" w:after="0"/>
              <w:ind w:left="0" w:right="0" w:hanging="0"/>
              <w:jc w:val="left"/>
              <w:rPr/>
            </w:pPr>
            <w:r>
              <w:rPr/>
              <w:t>​</w:t>
            </w:r>
          </w:p>
        </w:tc>
        <w:tc>
          <w:tcPr>
            <w:tcW w:w="91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 costs</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w:t>
            </w:r>
          </w:p>
        </w:tc>
      </w:tr>
      <w:tr>
        <w:trPr/>
        <w:tc>
          <w:tcPr>
            <w:tcW w:w="3616" w:type="dxa"/>
            <w:tcBorders>
              <w:bottom w:val="single" w:sz="2" w:space="0" w:color="000000"/>
            </w:tcBorders>
            <w:shd w:fill="CCEEFF" w:val="clear"/>
            <w:tcMar>
              <w:bottom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expenses </w:t>
            </w:r>
            <w:r>
              <w:rPr>
                <w:rFonts w:ascii="Times New Roman;Times;serif" w:hAnsi="Times New Roman;Times;serif"/>
                <w:sz w:val="15"/>
              </w:rPr>
              <w:t>(2)</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4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43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1,559</w:t>
            </w:r>
          </w:p>
        </w:tc>
      </w:tr>
      <w:tr>
        <w:trPr/>
        <w:tc>
          <w:tcPr>
            <w:tcW w:w="3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4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430" w:type="dxa"/>
            <w:tcBorders/>
            <w:vAlign w:val="center"/>
          </w:tcPr>
          <w:p>
            <w:pPr>
              <w:pStyle w:val="TableContents"/>
              <w:bidi w:val="0"/>
              <w:spacing w:lineRule="auto" w:line="285" w:before="0" w:after="0"/>
              <w:ind w:left="0" w:right="0" w:hanging="0"/>
              <w:jc w:val="left"/>
              <w:rPr/>
            </w:pPr>
            <w:r>
              <w:rPr/>
              <w:t>​</w:t>
            </w:r>
          </w:p>
        </w:tc>
        <w:tc>
          <w:tcPr>
            <w:tcW w:w="262" w:type="dxa"/>
            <w:tcBorders/>
            <w:vAlign w:val="center"/>
          </w:tcPr>
          <w:p>
            <w:pPr>
              <w:pStyle w:val="TableContents"/>
              <w:bidi w:val="0"/>
              <w:spacing w:lineRule="auto" w:line="285" w:before="0" w:after="0"/>
              <w:ind w:left="0" w:right="0" w:hanging="0"/>
              <w:jc w:val="left"/>
              <w:rPr/>
            </w:pPr>
            <w:r>
              <w:rPr/>
              <w:t>​</w:t>
            </w:r>
          </w:p>
        </w:tc>
        <w:tc>
          <w:tcPr>
            <w:tcW w:w="91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3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4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6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43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bl>
    <w:p>
      <w:pPr>
        <w:pStyle w:val="TextBody"/>
        <w:pBdr/>
        <w:bidi w:val="0"/>
        <w:spacing w:lineRule="auto" w:line="240" w:before="80" w:after="80"/>
        <w:ind w:left="0" w:right="0" w:hanging="0"/>
        <w:jc w:val="both"/>
        <w:rPr>
          <w:rFonts w:ascii="Times New Roman;Times;serif" w:hAnsi="Times New Roman;Times;serif"/>
          <w:sz w:val="20"/>
        </w:rPr>
      </w:pPr>
      <w:r>
        <w:rPr>
          <w:rFonts w:ascii="Times New Roman;Times;serif" w:hAnsi="Times New Roman;Times;serif"/>
          <w:color w:val="212529"/>
          <w:spacing w:val="4"/>
          <w:sz w:val="15"/>
        </w:rPr>
        <w:t>(1)</w:t>
      </w:r>
      <w:r>
        <w:rPr>
          <w:rFonts w:ascii="Times New Roman;Times;serif" w:hAnsi="Times New Roman;Times;serif"/>
          <w:sz w:val="18"/>
        </w:rPr>
        <w:t>Other R&amp;D costs include clinical, non-clinical and preclinical services and other R&amp;D expenditures that are not attributable to a single product candidate.</w:t>
      </w:r>
    </w:p>
    <w:p>
      <w:pPr>
        <w:pStyle w:val="TextBody"/>
        <w:pBdr/>
        <w:bidi w:val="0"/>
        <w:spacing w:lineRule="auto" w:line="240" w:before="80" w:after="0"/>
        <w:ind w:left="0" w:right="0" w:hanging="0"/>
        <w:jc w:val="both"/>
        <w:rPr>
          <w:rFonts w:ascii="Times New Roman;Times;serif" w:hAnsi="Times New Roman;Times;serif"/>
          <w:sz w:val="20"/>
        </w:rPr>
      </w:pPr>
      <w:r>
        <w:rPr>
          <w:rFonts w:ascii="Times New Roman;Times;serif" w:hAnsi="Times New Roman;Times;serif"/>
          <w:sz w:val="14"/>
        </w:rPr>
        <w:t>(2)</w:t>
      </w:r>
      <w:r>
        <w:rPr>
          <w:rFonts w:ascii="Times New Roman;Times;serif" w:hAnsi="Times New Roman;Times;serif"/>
          <w:sz w:val="18"/>
        </w:rPr>
        <w:t>Other G&amp;A expenses include insurance, software license fees, non-income state taxes, lease rental expenses and other G&amp;A expenditures</w:t>
      </w:r>
      <w:r>
        <w:rPr>
          <w:rFonts w:ascii="Times New Roman;Times;serif" w:hAnsi="Times New Roman;Times;serif"/>
          <w:color w:val="212529"/>
          <w:spacing w:val="4"/>
          <w:sz w:val="20"/>
        </w:rPr>
        <w:t>.</w:t>
      </w:r>
    </w:p>
    <w:p>
      <w:pPr>
        <w:pStyle w:val="TextBody"/>
        <w:shd w:fill="FFFFFF" w:val="clear"/>
        <w:bidi w:val="0"/>
        <w:spacing w:lineRule="auto" w:line="285" w:before="20" w:after="100"/>
        <w:ind w:left="0" w:right="0" w:hanging="0"/>
        <w:jc w:val="both"/>
        <w:rPr/>
      </w:pPr>
      <w:r>
        <w:rPr/>
        <w:t>​</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Income taxes</w:t>
      </w:r>
    </w:p>
    <w:p>
      <w:pPr>
        <w:pStyle w:val="TextBody"/>
        <w:bidi w:val="0"/>
        <w:spacing w:lineRule="auto" w:line="285" w:before="200" w:after="0"/>
        <w:ind w:left="0" w:right="0" w:hanging="0"/>
        <w:jc w:val="both"/>
        <w:rPr>
          <w:rFonts w:ascii="Times New Roman;Times;serif" w:hAnsi="Times New Roman;Times;serif"/>
          <w:sz w:val="20"/>
        </w:rPr>
      </w:pPr>
      <w:r>
        <w:rPr>
          <w:rFonts w:ascii="Times New Roman;Times;serif" w:hAnsi="Times New Roman;Times;serif"/>
          <w:sz w:val="20"/>
        </w:rPr>
        <w:t>We do not expect to pay any significant federal or state income taxes as a result of (i) the losses recorded during the three months ended March 31, 2026, (ii) additional losses expected for the remainder of 2026, or (iii) net operating loss carry forwards from prior years.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We recorded a full valuation allowance of the net operating losses for the three months ended March 31, 2026 and 2025. Accordingly, there were no benefits for income taxes recorded for the three months ended March 31, 2026 and 2025. Additionally, as of March 31, 2026 and December 31, 2025, we maintain a full valuation allowance for all deferred tax assets.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565" w:name="Tc_EJ95d7ZwfUW-LwUVw9E9Vw_5_0"/>
      <w:bookmarkStart w:id="566" w:name="Tc_2xolHxw8lE6Xszy9drsqrQ_4_0"/>
      <w:bookmarkStart w:id="567" w:name="Tc_ATKBe7NRfUOZG4S0amzd6g_3_0"/>
      <w:bookmarkStart w:id="568" w:name="Tc_P-sWe0dR0EiPg8ztgttZRA_2_4"/>
      <w:bookmarkStart w:id="569" w:name="Tc_MMPshafAXkGABoC--cCwMQ_2_2"/>
      <w:bookmarkStart w:id="570" w:name="Tc_vyhBFUbNwECO6gS22VoUpQ_1_2"/>
      <w:bookmarkStart w:id="571" w:name="Tc_1_mPeoWmK0mUCNNSL5OK-A_9_5"/>
      <w:bookmarkStart w:id="572" w:name="Tc_83dIEGUZDEe0uLvuLypAYw_9_2"/>
      <w:bookmarkStart w:id="573" w:name="Tc_P-wVggAzeEOPZ4kPMacecQ_9_0"/>
      <w:bookmarkStart w:id="574" w:name="Tc_tKYeQAS7vk2ZZl0IFG_vJw_8_0"/>
      <w:bookmarkStart w:id="575" w:name="Tc_WjanWRqVZUa6LRmUhIdRxw_7_6"/>
      <w:bookmarkStart w:id="576" w:name="Tc_b8c11IdRSk-Qjhry40Lmdw_7_3"/>
      <w:bookmarkStart w:id="577" w:name="Tc_KBLK2zbOwUOitXSonAxj_Q_7_0"/>
      <w:bookmarkStart w:id="578" w:name="Tc_3IT75Bb1L0OulNMdMwMtew_6_0"/>
      <w:bookmarkStart w:id="579" w:name="Tc_Dc9sYiOBr0WGHLjALGng5g_5_0"/>
      <w:bookmarkStart w:id="580" w:name="Tc_OCRQ8zHGxkm7S-MMP4MSFg_4_5"/>
      <w:bookmarkStart w:id="581" w:name="Tc_ilAQbhoZRki8toDjpQTxLA_4_2"/>
      <w:bookmarkStart w:id="582" w:name="Tc_n4T8XhuCfkWe0j7Xa_JnOA_4_0"/>
      <w:bookmarkStart w:id="583" w:name="Tc_qcoz6aRP-U25NEQo9StGlA_3_0"/>
      <w:bookmarkStart w:id="584" w:name="Tc_EGqJhV5CUEmwYdRVMmijag_2_5"/>
      <w:bookmarkStart w:id="585" w:name="Tc_4m_cQ5l1ckyeZYNZYOjo9g_2_2"/>
      <w:bookmarkStart w:id="586" w:name="Tc_OUuNCWYde0qSINY77pLSdw_1_2"/>
      <w:bookmarkStart w:id="587" w:name="_8439fec2_32ff_452c_a3d9_56343eae5568"/>
      <w:bookmarkStart w:id="588" w:name="_89f3a856_3722_428c_84be_c7d1bbd6d866"/>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r>
        <w:rPr>
          <w:rFonts w:ascii="Times New Roman;Times;serif" w:hAnsi="Times New Roman;Times;serif"/>
          <w:b/>
          <w:i w:val="false"/>
          <w:caps w:val="false"/>
          <w:smallCaps w:val="false"/>
          <w:sz w:val="20"/>
        </w:rPr>
        <w:t>10.</w:t>
      </w:r>
      <w:r>
        <w:rPr>
          <w:rFonts w:ascii="Times New Roman;Times;serif" w:hAnsi="Times New Roman;Times;serif"/>
          <w:b/>
          <w:sz w:val="20"/>
        </w:rPr>
        <w:t>Loss per share of common stock</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following table sets forth the computation of basic and diluted loss per share of common stock </w:t>
      </w:r>
      <w:r>
        <w:rPr>
          <w:rFonts w:ascii="Times New Roman;Times;serif" w:hAnsi="Times New Roman;Times;serif"/>
          <w:sz w:val="20"/>
          <w:shd w:fill="FFFFFF" w:val="clear"/>
        </w:rPr>
        <w:t>(in thousands, except share and per share amounts):</w:t>
      </w:r>
    </w:p>
    <w:tbl>
      <w:tblPr>
        <w:tblW w:w="7083" w:type="dxa"/>
        <w:jc w:val="left"/>
        <w:tblInd w:w="0" w:type="dxa"/>
        <w:tblLayout w:type="fixed"/>
        <w:tblCellMar>
          <w:top w:w="0" w:type="dxa"/>
          <w:left w:w="0" w:type="dxa"/>
          <w:bottom w:w="0" w:type="dxa"/>
          <w:right w:w="0" w:type="dxa"/>
        </w:tblCellMar>
      </w:tblPr>
      <w:tblGrid>
        <w:gridCol w:w="4246"/>
        <w:gridCol w:w="109"/>
        <w:gridCol w:w="251"/>
        <w:gridCol w:w="1111"/>
        <w:gridCol w:w="130"/>
        <w:gridCol w:w="251"/>
        <w:gridCol w:w="985"/>
      </w:tblGrid>
      <w:tr>
        <w:trPr/>
        <w:tc>
          <w:tcPr>
            <w:tcW w:w="42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1111" w:type="dxa"/>
            <w:tcBorders/>
            <w:vAlign w:val="center"/>
          </w:tcPr>
          <w:p>
            <w:pPr>
              <w:pStyle w:val="TableContents"/>
              <w:bidi w:val="0"/>
              <w:spacing w:lineRule="auto" w:line="285" w:before="0" w:after="0"/>
              <w:ind w:left="0" w:right="0" w:hanging="0"/>
              <w:jc w:val="left"/>
              <w:rPr/>
            </w:pPr>
            <w:r>
              <w:rPr/>
              <w:t>​</w:t>
            </w:r>
          </w:p>
        </w:tc>
        <w:tc>
          <w:tcPr>
            <w:tcW w:w="130"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85" w:type="dxa"/>
            <w:tcBorders/>
            <w:vAlign w:val="center"/>
          </w:tcPr>
          <w:p>
            <w:pPr>
              <w:pStyle w:val="TableContents"/>
              <w:bidi w:val="0"/>
              <w:spacing w:lineRule="auto" w:line="285" w:before="0" w:after="0"/>
              <w:ind w:left="0" w:right="0" w:hanging="0"/>
              <w:jc w:val="left"/>
              <w:rPr/>
            </w:pPr>
            <w:r>
              <w:rPr/>
              <w:t>​</w:t>
            </w:r>
          </w:p>
        </w:tc>
      </w:tr>
      <w:tr>
        <w:trPr/>
        <w:tc>
          <w:tcPr>
            <w:tcW w:w="4246"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42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62"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13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36"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1111" w:type="dxa"/>
            <w:tcBorders/>
            <w:shd w:fill="CCEEFF" w:val="clear"/>
            <w:vAlign w:val="center"/>
          </w:tcPr>
          <w:p>
            <w:pPr>
              <w:pStyle w:val="TableContents"/>
              <w:bidi w:val="0"/>
              <w:spacing w:lineRule="auto" w:line="285" w:before="0" w:after="0"/>
              <w:ind w:left="0" w:right="0" w:hanging="0"/>
              <w:jc w:val="right"/>
              <w:rPr/>
            </w:pPr>
            <w:r>
              <w:rPr/>
              <w:t>​</w:t>
            </w:r>
          </w:p>
        </w:tc>
        <w:tc>
          <w:tcPr>
            <w:tcW w:w="130"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85" w:type="dxa"/>
            <w:tcBorders/>
            <w:shd w:fill="CCEEFF" w:val="clear"/>
            <w:vAlign w:val="center"/>
          </w:tcPr>
          <w:p>
            <w:pPr>
              <w:pStyle w:val="TableContents"/>
              <w:bidi w:val="0"/>
              <w:spacing w:lineRule="auto" w:line="285" w:before="0" w:after="0"/>
              <w:ind w:left="0" w:right="0" w:hanging="0"/>
              <w:jc w:val="left"/>
              <w:rPr/>
            </w:pPr>
            <w:r>
              <w:rPr/>
              <w:t>​</w:t>
            </w:r>
          </w:p>
        </w:tc>
      </w:tr>
      <w:tr>
        <w:trPr/>
        <w:tc>
          <w:tcPr>
            <w:tcW w:w="4246"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(3,823)</w:t>
            </w:r>
          </w:p>
        </w:tc>
        <w:tc>
          <w:tcPr>
            <w:tcW w:w="13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4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1111" w:type="dxa"/>
            <w:tcBorders/>
            <w:shd w:fill="CCEEFF" w:val="clear"/>
            <w:vAlign w:val="center"/>
          </w:tcPr>
          <w:p>
            <w:pPr>
              <w:pStyle w:val="TableContents"/>
              <w:bidi w:val="0"/>
              <w:spacing w:lineRule="auto" w:line="285" w:before="0" w:after="0"/>
              <w:ind w:left="0" w:right="0" w:hanging="0"/>
              <w:jc w:val="right"/>
              <w:rPr/>
            </w:pPr>
            <w:r>
              <w:rPr/>
              <w:t>​</w:t>
            </w:r>
          </w:p>
        </w:tc>
        <w:tc>
          <w:tcPr>
            <w:tcW w:w="130"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w:t>
            </w:r>
          </w:p>
        </w:tc>
        <w:tc>
          <w:tcPr>
            <w:tcW w:w="985" w:type="dxa"/>
            <w:tcBorders/>
            <w:shd w:fill="CCEEFF" w:val="clear"/>
            <w:vAlign w:val="center"/>
          </w:tcPr>
          <w:p>
            <w:pPr>
              <w:pStyle w:val="TableContents"/>
              <w:bidi w:val="0"/>
              <w:spacing w:lineRule="auto" w:line="285" w:before="0" w:after="0"/>
              <w:ind w:left="0" w:right="0" w:hanging="0"/>
              <w:jc w:val="left"/>
              <w:rPr/>
            </w:pPr>
            <w:r>
              <w:rPr/>
              <w:t>​</w:t>
            </w:r>
          </w:p>
        </w:tc>
      </w:tr>
      <w:tr>
        <w:trPr/>
        <w:tc>
          <w:tcPr>
            <w:tcW w:w="4246" w:type="dxa"/>
            <w:tcBorders/>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w:t>
            </w:r>
          </w:p>
        </w:tc>
        <w:tc>
          <w:tcPr>
            <w:tcW w:w="10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1111"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4,859,567</w:t>
            </w:r>
          </w:p>
        </w:tc>
        <w:tc>
          <w:tcPr>
            <w:tcW w:w="130"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985" w:type="dxa"/>
            <w:tcBorders/>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933,109</w:t>
            </w:r>
          </w:p>
        </w:tc>
      </w:tr>
      <w:tr>
        <w:trPr/>
        <w:tc>
          <w:tcPr>
            <w:tcW w:w="4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Effect of dilutive securities</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c>
          <w:tcPr>
            <w:tcW w:w="13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pPr>
            <w:r>
              <w:rPr/>
              <w:t>—</w:t>
            </w:r>
          </w:p>
        </w:tc>
      </w:tr>
      <w:tr>
        <w:trPr/>
        <w:tc>
          <w:tcPr>
            <w:tcW w:w="4246" w:type="dxa"/>
            <w:tcBorders>
              <w:bottom w:val="double" w:sz="6" w:space="0" w:color="000000"/>
            </w:tcBorders>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diluted</w:t>
            </w:r>
          </w:p>
        </w:tc>
        <w:tc>
          <w:tcPr>
            <w:tcW w:w="10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4,859,567</w:t>
            </w:r>
          </w:p>
        </w:tc>
        <w:tc>
          <w:tcPr>
            <w:tcW w:w="13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5"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933,109</w:t>
            </w:r>
          </w:p>
        </w:tc>
      </w:tr>
      <w:tr>
        <w:trPr/>
        <w:tc>
          <w:tcPr>
            <w:tcW w:w="424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10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1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20"/>
              </w:rPr>
            </w:pPr>
            <w:r>
              <w:rPr>
                <w:rFonts w:ascii="Times New Roman;Times;serif" w:hAnsi="Times New Roman;Times;serif"/>
                <w:sz w:val="20"/>
              </w:rPr>
              <w:t>(3.93)</w:t>
            </w:r>
          </w:p>
        </w:tc>
      </w:tr>
    </w:tbl>
    <w:p>
      <w:pPr>
        <w:pStyle w:val="TextBody"/>
        <w:bidi w:val="0"/>
        <w:spacing w:lineRule="auto" w:line="285" w:before="0" w:after="0"/>
        <w:ind w:left="0" w:right="0" w:hanging="0"/>
        <w:jc w:val="left"/>
        <w:rPr/>
      </w:pPr>
      <w:r>
        <w:rPr/>
        <w:t>​</w:t>
      </w:r>
    </w:p>
    <w:p>
      <w:pPr>
        <w:pStyle w:val="TextBody"/>
        <w:pBdr/>
        <w:shd w:fill="FFFFFF" w:val="clea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For each of the periods presented in the above table, our basic weighted average shares of common stock include any outstanding (i) Series B warrants issued in November 2022, (ii) pre-funded warrants issued in June 2024, May 2025, and January 2026 and (iii) vested RSUs in which their release was deferred.</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Since we reported a net loss for the three months ended March 31, 2026 and 2025, our potentially dilutive securities are deemed to be anti-dilutive, accordingly, there was no effect of dilutive securities. Therefore, our basic and diluted loss per share of common stock and our basic and diluted weighted average shares of common stock are the same for the three months ended March 31, 2026 and 2025. </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sets forth the potentially dilutive securities that were not included in the calculation of diluted earnings per share of common stock for three months ended March 31, 2026 and 2025:</w:t>
      </w:r>
    </w:p>
    <w:p>
      <w:pPr>
        <w:pStyle w:val="TextBody"/>
        <w:bidi w:val="0"/>
        <w:spacing w:lineRule="auto" w:line="285" w:before="0" w:after="0"/>
        <w:ind w:left="0" w:right="0" w:hanging="0"/>
        <w:jc w:val="left"/>
        <w:rPr/>
      </w:pPr>
      <w:r>
        <w:rPr/>
        <w:t>​</w:t>
      </w:r>
    </w:p>
    <w:tbl>
      <w:tblPr>
        <w:tblW w:w="3678" w:type="dxa"/>
        <w:jc w:val="left"/>
        <w:tblInd w:w="0" w:type="dxa"/>
        <w:tblLayout w:type="fixed"/>
        <w:tblCellMar>
          <w:top w:w="0" w:type="dxa"/>
          <w:left w:w="0" w:type="dxa"/>
          <w:bottom w:w="0" w:type="dxa"/>
          <w:right w:w="0" w:type="dxa"/>
        </w:tblCellMar>
      </w:tblPr>
      <w:tblGrid>
        <w:gridCol w:w="1246"/>
        <w:gridCol w:w="346"/>
        <w:gridCol w:w="931"/>
        <w:gridCol w:w="109"/>
        <w:gridCol w:w="104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91210" cy="175260"/>
                      <wp:effectExtent l="0" t="0" r="0" b="0"/>
                      <wp:wrapNone/>
                      <wp:docPr id="116" name="Frame11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1185" cy="175260"/>
                      <wp:effectExtent l="0" t="0" r="0" b="0"/>
                      <wp:wrapNone/>
                      <wp:docPr id="118" name="Frame1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4210" cy="175260"/>
                      <wp:effectExtent l="0" t="0" r="0" b="0"/>
                      <wp:wrapNone/>
                      <wp:docPr id="120" name="Frame11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6"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March 31,</w:t>
            </w:r>
          </w:p>
        </w:tc>
      </w:tr>
      <w:tr>
        <w:trPr/>
        <w:tc>
          <w:tcPr>
            <w:tcW w:w="1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0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04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12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12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135,531</w:t>
            </w:r>
          </w:p>
        </w:tc>
        <w:tc>
          <w:tcPr>
            <w:tcW w:w="109" w:type="dxa"/>
            <w:tcBorders/>
            <w:vAlign w:val="center"/>
          </w:tcPr>
          <w:p>
            <w:pPr>
              <w:pStyle w:val="TableContents"/>
              <w:bidi w:val="0"/>
              <w:spacing w:lineRule="auto" w:line="285" w:before="0" w:after="0"/>
              <w:ind w:left="0" w:right="0" w:hanging="0"/>
              <w:jc w:val="left"/>
              <w:rPr/>
            </w:pPr>
            <w:r>
              <w:rPr/>
              <w:t>​</w:t>
            </w:r>
          </w:p>
        </w:tc>
        <w:tc>
          <w:tcPr>
            <w:tcW w:w="104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12,383</w:t>
            </w:r>
          </w:p>
        </w:tc>
      </w:tr>
      <w:tr>
        <w:trPr/>
        <w:tc>
          <w:tcPr>
            <w:tcW w:w="1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9,723,190</w:t>
            </w:r>
          </w:p>
        </w:tc>
        <w:tc>
          <w:tcPr>
            <w:tcW w:w="10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1,170,532</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Fair value of financial instruments</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Fair value is a market-based measurement, not an entity specific measurement and is defined as “the price that would be received to sell an asset or paid to transfer a liability in an orderly transaction between market participants at the measurement date.” Fair value measurements are defined on a three-level hierarchy:</w:t>
      </w:r>
    </w:p>
    <w:tbl>
      <w:tblPr>
        <w:tblW w:w="7191" w:type="dxa"/>
        <w:jc w:val="left"/>
        <w:tblInd w:w="0" w:type="dxa"/>
        <w:tblLayout w:type="fixed"/>
        <w:tblCellMar>
          <w:top w:w="0" w:type="dxa"/>
          <w:left w:w="0" w:type="dxa"/>
          <w:bottom w:w="0" w:type="dxa"/>
          <w:right w:w="0" w:type="dxa"/>
        </w:tblCellMar>
      </w:tblPr>
      <w:tblGrid>
        <w:gridCol w:w="124"/>
        <w:gridCol w:w="781"/>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Level 1:</w:t>
            </w:r>
          </w:p>
        </w:tc>
        <w:tc>
          <w:tcPr>
            <w:tcW w:w="6286"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Unadjusted quoted prices for identical assets or liabilities in active markets;</w:t>
            </w:r>
          </w:p>
        </w:tc>
      </w:tr>
    </w:tbl>
    <w:tbl>
      <w:tblPr>
        <w:tblW w:w="10205" w:type="dxa"/>
        <w:jc w:val="left"/>
        <w:tblInd w:w="0" w:type="dxa"/>
        <w:tblLayout w:type="fixed"/>
        <w:tblCellMar>
          <w:top w:w="0" w:type="dxa"/>
          <w:left w:w="0" w:type="dxa"/>
          <w:bottom w:w="0" w:type="dxa"/>
          <w:right w:w="0" w:type="dxa"/>
        </w:tblCellMar>
      </w:tblPr>
      <w:tblGrid>
        <w:gridCol w:w="124"/>
        <w:gridCol w:w="749"/>
        <w:gridCol w:w="9332"/>
      </w:tblGrid>
      <w:tr>
        <w:trPr/>
        <w:tc>
          <w:tcPr>
            <w:tcW w:w="12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Level 2:</w:t>
            </w:r>
          </w:p>
        </w:tc>
        <w:tc>
          <w:tcPr>
            <w:tcW w:w="9332" w:type="dxa"/>
            <w:tcBorders/>
            <w:vAlign w:val="center"/>
          </w:tcPr>
          <w:p>
            <w:pPr>
              <w:pStyle w:val="TableContents"/>
              <w:bidi w:val="0"/>
              <w:spacing w:lineRule="auto" w:line="285" w:before="0" w:after="160"/>
              <w:jc w:val="both"/>
              <w:rPr>
                <w:rFonts w:ascii="Times New Roman;Times;serif" w:hAnsi="Times New Roman;Times;serif"/>
                <w:sz w:val="20"/>
              </w:rPr>
            </w:pPr>
            <w:r>
              <w:rPr>
                <w:rFonts w:ascii="Times New Roman;Times;serif" w:hAnsi="Times New Roman;Times;serif"/>
                <w:sz w:val="20"/>
              </w:rPr>
              <w:t>Quoted prices for similar assets and liabilities in active markets, quoted prices in markets that are not active, or inputs which are observable, whether directly or indirectly, for substantially the full term of the asset or liability; and</w:t>
            </w:r>
          </w:p>
        </w:tc>
      </w:tr>
    </w:tbl>
    <w:p>
      <w:pPr>
        <w:pStyle w:val="TextBody"/>
        <w:pBdr/>
        <w:bidi w:val="0"/>
        <w:spacing w:lineRule="auto" w:line="285" w:before="0" w:after="160"/>
        <w:ind w:left="720" w:right="0" w:hanging="720"/>
        <w:jc w:val="both"/>
        <w:rPr>
          <w:rFonts w:ascii="Times New Roman;Times;serif" w:hAnsi="Times New Roman;Times;serif"/>
          <w:sz w:val="20"/>
        </w:rPr>
      </w:pPr>
      <w:r>
        <w:rPr>
          <w:rFonts w:ascii="Times New Roman;Times;serif" w:hAnsi="Times New Roman;Times;serif"/>
          <w:sz w:val="20"/>
        </w:rPr>
        <w:t xml:space="preserve">Level 3: Unobservable inputs that reflect our own assumptions about the assumptions market participants would use in pricing the asset or liability in which there is little, if any, market activity for the asset or liability at the measurement date.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both"/>
        <w:rPr>
          <w:rFonts w:ascii="Times New Roman;Times;serif" w:hAnsi="Times New Roman;Times;serif"/>
          <w:sz w:val="20"/>
        </w:rPr>
      </w:pPr>
      <w:bookmarkStart w:id="589" w:name="Tc_bhrDIyuAQEaQnECXR10B3Q_9_24"/>
      <w:bookmarkStart w:id="590" w:name="Tc_05SeLAj7XUi1IyS95IyOLg_9_23"/>
      <w:bookmarkStart w:id="591" w:name="Tc_i-4p_YHgAUCjqISdu3VxlA_9_20"/>
      <w:bookmarkStart w:id="592" w:name="Tc_spJbjOmLH06uF6argvxHKg_9_18"/>
      <w:bookmarkStart w:id="593" w:name="Tc_25WkF_7xQEOSKyArJ8Chzg_9_17"/>
      <w:bookmarkStart w:id="594" w:name="Tc_DR_H_vEWF0aes5OOIFjUiw_9_14"/>
      <w:bookmarkStart w:id="595" w:name="Tc_RLf6phFv20yRfpTf5avTng_9_12"/>
      <w:bookmarkStart w:id="596" w:name="Tc_uT7Ww8IXTkeuQbwgHr_CkQ_9_11"/>
      <w:bookmarkStart w:id="597" w:name="Tc_ml6e5N7jL02Vnc9cyDl1oQ_9_8"/>
      <w:bookmarkStart w:id="598" w:name="Tc_AZ1e-4gkoEOyzA8VUohygQ_9_6"/>
      <w:bookmarkStart w:id="599" w:name="Tc_m_wgJ5z3C0qjPZCXDD4nDA_9_5"/>
      <w:bookmarkStart w:id="600" w:name="Tc_eiVbowh-60KBHXC11BCB3Q_9_2"/>
      <w:bookmarkStart w:id="601" w:name="Tc_51vtZCw7CkaOR47T7RWiiQ_9_0"/>
      <w:bookmarkStart w:id="602" w:name="Tc_p95HINUmjkqpHd1Azx7MQw_8_24"/>
      <w:bookmarkStart w:id="603" w:name="Tc_WD24u5DrbUWFEyRG2IVd-Q_8_23"/>
      <w:bookmarkStart w:id="604" w:name="Tc_dEGc8yLjUEys3oyv8uSAOQ_8_20"/>
      <w:bookmarkStart w:id="605" w:name="Tc_Ov7_VdMaPkm2oE4AvniYpw_8_18"/>
      <w:bookmarkStart w:id="606" w:name="Tc_-CuMSKmR30-QBLFN5h88hA_8_17"/>
      <w:bookmarkStart w:id="607" w:name="Tc_p4p8WWBwdEWoMx-aC3OLWg_8_14"/>
      <w:bookmarkStart w:id="608" w:name="Tc_jj04ms-tikiBhY_OkJbx5g_8_12"/>
      <w:bookmarkStart w:id="609" w:name="Tc_y9OmiNTOUk-xnNsRsdNa6w_8_11"/>
      <w:bookmarkStart w:id="610" w:name="Tc_9b2U5CZlbEWL2WIkY1lN4Q_8_8"/>
      <w:bookmarkStart w:id="611" w:name="Tc_DXdXMUfGQ0Gkz87FFT5HOA_8_6"/>
      <w:bookmarkStart w:id="612" w:name="Tc_z2E1rQ6DqEGVg3v0JVfkoQ_8_5"/>
      <w:bookmarkStart w:id="613" w:name="Tc_Jx3JMbo-AUqpFTliWvEcng_8_2"/>
      <w:bookmarkStart w:id="614" w:name="Tc_C_5kR5U_7UmsvJKEh-nNhQ_8_0"/>
      <w:bookmarkStart w:id="615" w:name="Tc_aSuw9BWYd0eR1jMNYrDWSA_7_0"/>
      <w:bookmarkStart w:id="616" w:name="Tc_1_GHKGzGCEWBwgj8rROLtA_5_24"/>
      <w:bookmarkStart w:id="617" w:name="Tc_1A57uePnO0uJ06g9NkVEqA_5_23"/>
      <w:bookmarkStart w:id="618" w:name="Tc_VJNbAj5ib0iBUxcq6NtY6A_5_21"/>
      <w:bookmarkStart w:id="619" w:name="Tc_WGRSVJf7IEWTA4uT2oTnFQ_5_20"/>
      <w:bookmarkStart w:id="620" w:name="Tc_2d8hxlG-2kiNnANy-WLAjw_5_17"/>
      <w:bookmarkStart w:id="621" w:name="Tc_YrlBaHDxAku_OEWILwSW4g_5_14"/>
      <w:bookmarkStart w:id="622" w:name="Tc_Pjt-wUeZd0ipif-ov8LAeg_5_12"/>
      <w:bookmarkStart w:id="623" w:name="Tc_9rjWCftdyUS2naSz6mNJGw_5_11"/>
      <w:bookmarkStart w:id="624" w:name="Tc_5HHj76gk_0GuISjJuV-fRw_5_9"/>
      <w:bookmarkStart w:id="625" w:name="Tc_5mdKdA-Vw0yltRL5OxGUyg_5_8"/>
      <w:bookmarkStart w:id="626" w:name="Tc_xPhSgjf00Uys9X_daEZ4Xg_5_5"/>
      <w:bookmarkStart w:id="627" w:name="Tc_PMbEUmQTIU-JOsE1oxCFOg_5_2"/>
      <w:bookmarkStart w:id="628" w:name="Tc_y3gN_T5YEEe3sbk8wuqOBg_5_0"/>
      <w:bookmarkStart w:id="629" w:name="Tc__Tc9pCStt0anTbhIGd1Hzw_4_24"/>
      <w:bookmarkStart w:id="630" w:name="Tc_W-Gvn-jOa0WC3Gh98LEkDg_4_23"/>
      <w:bookmarkStart w:id="631" w:name="Tc_eaeObp9dJkKZSDfv-UMyyg_4_21"/>
      <w:bookmarkStart w:id="632" w:name="Tc_I4phrhjpX0GWxG_BYsAvqQ_4_20"/>
      <w:bookmarkStart w:id="633" w:name="Tc_82oPDQudUESJ-CaZ4M5kyg_4_17"/>
      <w:bookmarkStart w:id="634" w:name="Tc_g_9LF7a660-U5I_295QAsw_4_14"/>
      <w:bookmarkStart w:id="635" w:name="Tc_bEv1Ps1-Wk6NJoKH0JLx-g_4_12"/>
      <w:bookmarkStart w:id="636" w:name="Tc_2CapI_Frf0aLQkoksSJSVg_4_11"/>
      <w:bookmarkStart w:id="637" w:name="Tc_xtc8OD-fWUeGwh27M8PnGw_4_9"/>
      <w:bookmarkStart w:id="638" w:name="Tc_KY4sqUgv_UW7cGBOdfKj9A_4_8"/>
      <w:bookmarkStart w:id="639" w:name="Tc_iRD5pE9D1EiMmI6joWjPQg_4_5"/>
      <w:bookmarkStart w:id="640" w:name="Tc_b2W3yjLiGUCnal4WScDa6w_4_2"/>
      <w:bookmarkStart w:id="641" w:name="Tc_wPoVDJYC7E-YeTX0HswkSw_4_0"/>
      <w:bookmarkStart w:id="642" w:name="Tc_1lJx-8gab0ytsTCKlHYAfA_3_0"/>
      <w:bookmarkStart w:id="643" w:name="Tc_9Y82705MB0iR9ixe0gfQ9A_2_23"/>
      <w:bookmarkStart w:id="644" w:name="Tc_0u97f4xLkkK83vftqVFmxw_2_20"/>
      <w:bookmarkStart w:id="645" w:name="Tc_OAsgQPkobUuHr7mCosQrAg_2_17"/>
      <w:bookmarkStart w:id="646" w:name="Tc_fUtXdbn8W0e5RSkejGSS1A_2_14"/>
      <w:bookmarkStart w:id="647" w:name="Tc_OOZlGgyPs0u4G1_CliUMHg_2_11"/>
      <w:bookmarkStart w:id="648" w:name="Tc__nJC6KLbyEusoPFNITt2ag_2_8"/>
      <w:bookmarkStart w:id="649" w:name="Tc_cR2w5T3ZHE-2mkwze4NQkw_2_5"/>
      <w:bookmarkStart w:id="650" w:name="Tc_Qcg1hbWEb026Aw98z_EYSA_2_2"/>
      <w:bookmarkStart w:id="651" w:name="Tc_ZxuOpQXeWEOP3QulLej9kw_2_0"/>
      <w:bookmarkStart w:id="652" w:name="Tc_nMAu5zUpzE2BB1eVHMvl1Q_1_14"/>
      <w:bookmarkStart w:id="653" w:name="Tc_f17cnKahCEWFTDnWHBcFig_1_2"/>
      <w:bookmarkStart w:id="654" w:name="_3b3cd77d_aef6_46d5_93f4_297337f2e97b"/>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r>
        <w:rPr>
          <w:rFonts w:ascii="Times New Roman;Times;serif" w:hAnsi="Times New Roman;Times;serif"/>
          <w:sz w:val="20"/>
        </w:rPr>
        <w:t xml:space="preserve">The following table sets forth our financial assets and liabilities, subject to fair value measurements on a recurring basis, by level within the fair value hierarchy </w:t>
      </w:r>
      <w:r>
        <w:rPr>
          <w:rFonts w:ascii="Times New Roman;Times;serif" w:hAnsi="Times New Roman;Times;serif"/>
          <w:sz w:val="20"/>
          <w:shd w:fill="FFFFFF" w:val="clear"/>
        </w:rPr>
        <w:t>(in thousands)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1170"/>
        <w:gridCol w:w="346"/>
        <w:gridCol w:w="211"/>
        <w:gridCol w:w="676"/>
        <w:gridCol w:w="346"/>
        <w:gridCol w:w="211"/>
        <w:gridCol w:w="676"/>
        <w:gridCol w:w="346"/>
        <w:gridCol w:w="273"/>
        <w:gridCol w:w="448"/>
        <w:gridCol w:w="346"/>
        <w:gridCol w:w="273"/>
        <w:gridCol w:w="448"/>
        <w:gridCol w:w="346"/>
        <w:gridCol w:w="211"/>
        <w:gridCol w:w="571"/>
        <w:gridCol w:w="346"/>
        <w:gridCol w:w="211"/>
        <w:gridCol w:w="571"/>
        <w:gridCol w:w="346"/>
        <w:gridCol w:w="240"/>
        <w:gridCol w:w="481"/>
        <w:gridCol w:w="346"/>
        <w:gridCol w:w="240"/>
        <w:gridCol w:w="526"/>
      </w:tblGrid>
      <w:tr>
        <w:trPr/>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42950" cy="175260"/>
                      <wp:effectExtent l="0" t="0" r="0" b="0"/>
                      <wp:wrapNone/>
                      <wp:docPr id="121" name="Frame120"/>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29260" cy="175260"/>
                      <wp:effectExtent l="0" t="0" r="0" b="0"/>
                      <wp:wrapNone/>
                      <wp:docPr id="124" name="Frame1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3355" cy="175260"/>
                      <wp:effectExtent l="0" t="0" r="0" b="0"/>
                      <wp:wrapNone/>
                      <wp:docPr id="129" name="Frame128"/>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84480" cy="175260"/>
                      <wp:effectExtent l="0" t="0" r="0" b="0"/>
                      <wp:wrapNone/>
                      <wp:docPr id="130" name="Frame129"/>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3355" cy="175260"/>
                      <wp:effectExtent l="0" t="0" r="0" b="0"/>
                      <wp:wrapNone/>
                      <wp:docPr id="132" name="Frame13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84480" cy="175260"/>
                      <wp:effectExtent l="0" t="0" r="0" b="0"/>
                      <wp:wrapNone/>
                      <wp:docPr id="133" name="Frame132"/>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2585" cy="175260"/>
                      <wp:effectExtent l="0" t="0" r="0" b="0"/>
                      <wp:wrapNone/>
                      <wp:docPr id="136" name="Frame13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9"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2400" cy="175260"/>
                      <wp:effectExtent l="0" t="0" r="0" b="0"/>
                      <wp:wrapNone/>
                      <wp:docPr id="141" name="Frame14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05435" cy="175260"/>
                      <wp:effectExtent l="0" t="0" r="0" b="0"/>
                      <wp:wrapNone/>
                      <wp:docPr id="142" name="Frame141"/>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2400" cy="175260"/>
                      <wp:effectExtent l="0" t="0" r="0" b="0"/>
                      <wp:wrapNone/>
                      <wp:docPr id="144" name="Frame14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34010" cy="175260"/>
                      <wp:effectExtent l="0" t="0" r="0" b="0"/>
                      <wp:wrapNone/>
                      <wp:docPr id="145" name="Frame144"/>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1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5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March 31, 2026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08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As of December 31, 2025</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r>
      <w:tr>
        <w:trPr/>
        <w:tc>
          <w:tcPr>
            <w:tcW w:w="11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76"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center"/>
              <w:rPr/>
            </w:pPr>
            <w:r>
              <w:rPr/>
              <w:t>​</w:t>
            </w:r>
          </w:p>
        </w:tc>
        <w:tc>
          <w:tcPr>
            <w:tcW w:w="44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center"/>
              <w:rPr/>
            </w:pPr>
            <w:r>
              <w:rPr/>
              <w:t>​</w:t>
            </w:r>
          </w:p>
        </w:tc>
        <w:tc>
          <w:tcPr>
            <w:tcW w:w="44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57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center"/>
              <w:rPr/>
            </w:pPr>
            <w:r>
              <w:rPr/>
              <w:t>​</w:t>
            </w:r>
          </w:p>
        </w:tc>
        <w:tc>
          <w:tcPr>
            <w:tcW w:w="48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center"/>
              <w:rPr/>
            </w:pPr>
            <w:r>
              <w:rPr/>
              <w:t>​</w:t>
            </w:r>
          </w:p>
        </w:tc>
        <w:tc>
          <w:tcPr>
            <w:tcW w:w="526" w:type="dxa"/>
            <w:tcBorders/>
            <w:shd w:fill="CCEEFF" w:val="clear"/>
            <w:vAlign w:val="center"/>
          </w:tcPr>
          <w:p>
            <w:pPr>
              <w:pStyle w:val="TableContents"/>
              <w:bidi w:val="0"/>
              <w:spacing w:lineRule="auto" w:line="285" w:before="0" w:after="0"/>
              <w:ind w:left="0" w:right="0" w:hanging="0"/>
              <w:jc w:val="center"/>
              <w:rPr/>
            </w:pPr>
            <w:r>
              <w:rPr/>
              <w:t>​</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Bank money market funds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12,437</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12,437</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 at fair value</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12,437</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12,437</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3" w:type="dxa"/>
            <w:tcBorders/>
            <w:vAlign w:val="center"/>
          </w:tcPr>
          <w:p>
            <w:pPr>
              <w:pStyle w:val="TableContents"/>
              <w:bidi w:val="0"/>
              <w:spacing w:lineRule="auto" w:line="285" w:before="0" w:after="0"/>
              <w:ind w:left="0" w:right="0" w:hanging="0"/>
              <w:jc w:val="left"/>
              <w:rPr/>
            </w:pPr>
            <w:r>
              <w:rPr/>
              <w:t>​</w:t>
            </w:r>
          </w:p>
        </w:tc>
        <w:tc>
          <w:tcPr>
            <w:tcW w:w="44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526" w:type="dxa"/>
            <w:tcBorders/>
            <w:vAlign w:val="center"/>
          </w:tcPr>
          <w:p>
            <w:pPr>
              <w:pStyle w:val="TableContents"/>
              <w:bidi w:val="0"/>
              <w:spacing w:lineRule="auto" w:line="285" w:before="0" w:after="0"/>
              <w:ind w:left="0" w:right="0" w:hanging="0"/>
              <w:jc w:val="right"/>
              <w:rPr/>
            </w:pPr>
            <w:r>
              <w:rPr/>
              <w:t>​</w:t>
            </w:r>
          </w:p>
        </w:tc>
      </w:tr>
      <w:tr>
        <w:trPr/>
        <w:tc>
          <w:tcPr>
            <w:tcW w:w="11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3" w:type="dxa"/>
            <w:tcBorders/>
            <w:shd w:fill="CCEEFF" w:val="clear"/>
            <w:vAlign w:val="center"/>
          </w:tcPr>
          <w:p>
            <w:pPr>
              <w:pStyle w:val="TableContents"/>
              <w:bidi w:val="0"/>
              <w:spacing w:lineRule="auto" w:line="285" w:before="0" w:after="0"/>
              <w:ind w:left="0" w:right="0" w:hanging="0"/>
              <w:jc w:val="left"/>
              <w:rPr/>
            </w:pPr>
            <w:r>
              <w:rPr/>
              <w:t>​</w:t>
            </w:r>
          </w:p>
        </w:tc>
        <w:tc>
          <w:tcPr>
            <w:tcW w:w="44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526" w:type="dxa"/>
            <w:tcBorders/>
            <w:shd w:fill="CCEEFF" w:val="clear"/>
            <w:vAlign w:val="center"/>
          </w:tcPr>
          <w:p>
            <w:pPr>
              <w:pStyle w:val="TableContents"/>
              <w:bidi w:val="0"/>
              <w:spacing w:lineRule="auto" w:line="285" w:before="0" w:after="0"/>
              <w:ind w:left="0" w:right="0" w:hanging="0"/>
              <w:jc w:val="left"/>
              <w:rPr/>
            </w:pPr>
            <w:r>
              <w:rPr/>
              <w:t>​</w:t>
            </w:r>
          </w:p>
        </w:tc>
      </w:tr>
      <w:tr>
        <w:trPr/>
        <w:tc>
          <w:tcPr>
            <w:tcW w:w="11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1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at fair value</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pPr>
            <w:r>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pPr>
      <w:r>
        <w:rPr/>
        <w:t>​</w:t>
      </w:r>
    </w:p>
    <w:p>
      <w:pPr>
        <w:pStyle w:val="TextBody"/>
        <w:pBdr/>
        <w:shd w:fill="FFFFFF" w:val="clear"/>
        <w:bidi w:val="0"/>
        <w:spacing w:lineRule="auto" w:line="285" w:before="0" w:after="0"/>
        <w:ind w:left="0" w:right="0" w:hanging="0"/>
        <w:jc w:val="both"/>
        <w:rPr/>
      </w:pPr>
      <w:r>
        <w:rPr/>
        <w:t>​</w:t>
      </w:r>
    </w:p>
    <w:p>
      <w:pPr>
        <w:pStyle w:val="TextBody"/>
        <w:shd w:fill="FFFFFF" w:val="clear"/>
        <w:bidi w:val="0"/>
        <w:spacing w:lineRule="auto" w:line="285" w:before="0" w:after="10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55" w:name="ITEM2MANAGEMENTSDISCUSSION_974141"/>
      <w:bookmarkStart w:id="656" w:name="_abc55a2b_2fd4_41a5_bbfe_28791e5367c4"/>
      <w:bookmarkStart w:id="657" w:name="_Hlk147358260"/>
      <w:bookmarkEnd w:id="655"/>
      <w:bookmarkEnd w:id="656"/>
      <w:bookmarkEnd w:id="657"/>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w:t>
      </w:r>
      <w:r>
        <w:rPr>
          <w:rFonts w:ascii="Times New Roman;Times;serif" w:hAnsi="Times New Roman;Times;serif"/>
          <w:sz w:val="20"/>
        </w:rPr>
        <w:t xml:space="preserve"> </w:t>
      </w:r>
      <w:r>
        <w:rPr>
          <w:rFonts w:ascii="Times New Roman;Times;serif" w:hAnsi="Times New Roman;Times;serif"/>
          <w:b/>
          <w:sz w:val="20"/>
        </w:rPr>
        <w:t>Results of Operations</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discussion and analysis of our financial condition and results of operations should be read in conjunction with the unaudited condensed consolidated financial statements and related notes included elsewhere in this Report and the audited financial statements and related notes included in our </w:t>
      </w:r>
      <w:r>
        <w:rPr>
          <w:rFonts w:ascii="Times New Roman;Times;serif" w:hAnsi="Times New Roman;Times;serif"/>
          <w:sz w:val="20"/>
          <w:shd w:fill="FFFFFF" w:val="clear"/>
        </w:rPr>
        <w:t>2025 Form 10-K.</w:t>
      </w:r>
      <w:r>
        <w:rPr>
          <w:rFonts w:ascii="Times New Roman;Times;serif" w:hAnsi="Times New Roman;Times;serif"/>
          <w:sz w:val="20"/>
        </w:rPr>
        <w:t xml:space="preserve"> This discussion contains forward-looking statements based upon current expectations that involve risks and uncertainties. See “Special Note Regarding Forward-Looking Statements.” Our actual results may differ materially from those contained in or implied by any forward-looking statements as a result of various factors, including, but not limited to, the risks and uncertainties described under Part II, Item 1A. Risk Factors, elsewhere in this Report.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Certain amounts in the following discussion and analysis may not add up due to rounding, and all percentages have been calculated using unrounded amounts.</w:t>
      </w:r>
    </w:p>
    <w:p>
      <w:pPr>
        <w:pStyle w:val="TextBody"/>
        <w:pBdr/>
        <w:shd w:fill="FFFFFF" w:val="clear"/>
        <w:bidi w:val="0"/>
        <w:spacing w:lineRule="auto" w:line="285" w:before="0" w:after="160"/>
        <w:ind w:left="0" w:right="0" w:hanging="20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160"/>
        <w:ind w:left="0" w:right="0" w:hanging="0"/>
        <w:jc w:val="both"/>
        <w:rPr>
          <w:rFonts w:ascii="Times New Roman;Times;serif" w:hAnsi="Times New Roman;Times;serif"/>
          <w:spacing w:val="4"/>
          <w:sz w:val="20"/>
        </w:rPr>
      </w:pPr>
      <w:r>
        <w:rPr>
          <w:rFonts w:ascii="Times New Roman;Times;serif" w:hAnsi="Times New Roman;Times;serif"/>
          <w:spacing w:val="4"/>
          <w:sz w:val="20"/>
        </w:rPr>
        <w:t>We are a clinical-stage biotechnology company focused primarily on developing novel pharmaceuticals to treat cardiometabolic diseases. We have two ongoing programs focused primarily on the treatment of metabolic dysfunction-associated steatohepatitis (“MASH”) and obesity.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Vanoglipel is a novel G-Protein-Coupled Receptor 119 (“GPR119”) agonist with development optionality as a standalone or combination therapy for both MASH and Type 2 Diabetes Mellitus (“T2DM”). Agonism of GPR119 in the gut promotes the release of key gut peptides, glucagon-like peptide 1 (“GLP-1”), glucagon-dependent insulinotropic polypeptide receptor, and peptide YY. These peptides play a further role in glucose metabolism, lipid metabolism and weight loss. Vanoglipel has demonstrated beneficial effects on glucose, lipid profile and liver inflammation, as demonstrated during in-vivo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DA-1726 is a novel oxyntomodulin analog agonist functioning as a GLP-1 receptor (“GLP1R”) and glucagon receptor (“GCGR”) dual agonist for the treatment of obesity that is designed to be administered once weekly subcutaneously. With the activation of the dual agonist, weight loss may be achieved by GLP1R reducing appetite while GCGR increases energy expenditure.</w:t>
            </w:r>
          </w:p>
        </w:tc>
      </w:tr>
    </w:tbl>
    <w:p>
      <w:pPr>
        <w:pStyle w:val="TextBody"/>
        <w:pBdr/>
        <w:shd w:fill="FFFFFF" w:val="clear"/>
        <w:bidi w:val="0"/>
        <w:spacing w:lineRule="auto" w:line="285" w:before="0" w:after="0"/>
        <w:ind w:left="0" w:right="0" w:hanging="0"/>
        <w:jc w:val="both"/>
        <w:rPr>
          <w:rFonts w:ascii="Times New Roman;Times;serif" w:hAnsi="Times New Roman;Times;serif"/>
          <w:color w:val="212529"/>
          <w:spacing w:val="4"/>
          <w:sz w:val="20"/>
        </w:rPr>
      </w:pPr>
      <w:r>
        <w:rPr>
          <w:rFonts w:ascii="Times New Roman;Times;serif" w:hAnsi="Times New Roman;Times;serif"/>
          <w:color w:val="212529"/>
          <w:spacing w:val="4"/>
          <w:sz w:val="20"/>
        </w:rPr>
        <w:t>While we primarily focus our financial resources and management’s attention on the development of vanoglipel and DA-1726, we also have four legacy therapeutic programs designed to impact a range of indications in viral, neurodegenerative and cardiometabolic diseases on which we are not planning to advance development and have, or continue to consider for, out-licensing and divestiture opportunities.</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Our operations have consisted principally of performing research and development (“R&amp;D”) activities, which includes preclinical developments and clinical trials, and raising capital. Our activities are subject to significant risks and uncertainties, such as failing to secure additional funding before sustainable revenues and profit from operations are achieved. For more information on our business and product candidates, see “Part I, Item 1. Business” in our 2025 Form 10-K.</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Vanoglipel</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We initiated a Phase 2a clinical trial in 2023 with the goal of establishing the mechanism of action and efficacy of vanoglipel in the treatment of MASH and to evaluate trends for T2DM. This is the first-in-human MASH clinical trial for vanoglipel. We are expecting to finalize the Clinical Study Report of the Phase 2a clinical trial in the first half of 2026.</w:t>
      </w:r>
      <w:r>
        <w:rPr>
          <w:rFonts w:ascii="Times New Roman;Times;serif" w:hAnsi="Times New Roman;Times;serif"/>
          <w:sz w:val="20"/>
        </w:rPr>
        <w:t xml:space="preserve"> We are also currently working to schedule an end-of-Phase 2a meeting with the Food and Drug Administration. </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For additional information on vanoglipel, including a</w:t>
      </w:r>
      <w:r>
        <w:rPr>
          <w:rFonts w:ascii="Times New Roman;Times;serif" w:hAnsi="Times New Roman;Times;serif"/>
          <w:sz w:val="20"/>
          <w:shd w:fill="FFFFFF" w:val="clear"/>
        </w:rPr>
        <w:t xml:space="preserve">n overview of the top-line 16-week results from the two-part Phase 2a clinical trial, </w:t>
      </w:r>
      <w:r>
        <w:rPr>
          <w:rFonts w:ascii="Times New Roman;Times;serif" w:hAnsi="Times New Roman;Times;serif"/>
          <w:sz w:val="20"/>
        </w:rPr>
        <w:t>see “Part I, Item 1. Business, Our Pipeline, vanoglipel (DA-1241) Treatment of MASH” in our 2025 Form 10-K.</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DA-1726</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initiated a Phase 1 clinical trial in 2024 with the goal of establishing the safety and tolerability of DA-1726 while exploring the mechanism of action and efficacy of DA-1726 in the treatment of obesity. This is the first-in-human clinical trial for DA-</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shd w:fill="FFFFFF" w:val="clear"/>
        </w:rPr>
        <w:t>1726. We started Part 3a and Part 3b of the Phase 1 clinical trial in April 2026. Part 3a will be a one-step titration with 16 mg for four weeks and 48 mg for 12 weeks. Part 3b will be a two-step titration with 16 mg for four weeks, 32 mg for four weeks and 64 mg for eight weeks. These titration studies are to see if it can remove any moderate adverse effects from the 48 mg dose level and to seek DA-1726 at a higher dose level of 64 mg. We expect dose-dependent exploratory weight loss and other early signals in the exploratory endpoints with potential for best-in-class safety and tolerability. The data readout for both Part 3a and Part 3b is planned for the fourth quarter of 2026.</w:t>
      </w:r>
      <w:r>
        <w:rPr>
          <w:rFonts w:ascii="Times New Roman;Times;serif" w:hAnsi="Times New Roman;Times;serif"/>
          <w:sz w:val="20"/>
        </w:rPr>
        <w:t xml:space="preserve"> </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DA-1726, see “Part I, Item 1. Business, Our Pipeline, DA-1726 Treatment of Obesity” in our 2025 Form 10-K, and our Current Reports on Form 8-Ks dated January 5, 2026, March 18, 2026, April 10, 2026, and May 11, 2026.</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Recent developments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2026: Announced positive statistically significant results from the eight-week (extended from four weeks) non-titrated 48 mg, multiple ascending dose (MAD) cohort of the Phase 1 clinical trial for DA-1726. </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2026: Closed on an underwritten public offering and received net proceeds of $7.1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2026: Announced that the Institutional Review Board at Clinical Pharmacology of Miami has approved our Phase 1, Part 3 clinical trial for DA-1726.</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2026: Dosed the first patient in the Phase 1, Part 3 clinical trial for DA-1726.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2026: Announced the presentation of additional data from the 48 mg Phase 1 trial of DA-1726 at the EASL Congress 2026 in a poster entitled, Safety, Tolerability, Pharmacokinetics, and Pharmacodynamics of DA-1726, an Oxyntomodulin Analogue, in a Higher-Dose Phase 1 Cohort with Exploratory Noninvasive Liver Assessment.</w:t>
            </w:r>
          </w:p>
        </w:tc>
      </w:tr>
    </w:tbl>
    <w:p>
      <w:pPr>
        <w:pStyle w:val="TextBody"/>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Key operating information</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Our key operating information is described in “Key operating information” within “Part II, Item 7. Management’s Discussion and Analysis of Financial Condition and Results of Operations” in </w:t>
      </w:r>
      <w:r>
        <w:rPr>
          <w:rFonts w:ascii="Times New Roman;Times;serif" w:hAnsi="Times New Roman;Times;serif"/>
          <w:sz w:val="20"/>
          <w:shd w:fill="FFFFFF" w:val="clear"/>
        </w:rPr>
        <w:t xml:space="preserve">our 2025 Form 10-K. There have been no material changes to our key operating information. </w:t>
      </w:r>
    </w:p>
    <w:p>
      <w:pPr>
        <w:pStyle w:val="TextBody"/>
        <w:shd w:fill="FFFFFF" w:val="clear"/>
        <w:bidi w:val="0"/>
        <w:spacing w:lineRule="auto" w:line="285" w:before="0" w:after="160"/>
        <w:ind w:left="0" w:right="0" w:hanging="0"/>
        <w:jc w:val="both"/>
        <w:rPr>
          <w:rFonts w:ascii="Times New Roman;Times;serif" w:hAnsi="Times New Roman;Times;serif"/>
          <w:b/>
          <w:sz w:val="20"/>
        </w:rPr>
      </w:pPr>
      <w:bookmarkStart w:id="658" w:name="ResultsofOperations_312446"/>
      <w:bookmarkEnd w:id="658"/>
      <w:r>
        <w:rPr>
          <w:rFonts w:ascii="Times New Roman;Times;serif" w:hAnsi="Times New Roman;Times;serif"/>
          <w:b/>
          <w:sz w:val="20"/>
        </w:rPr>
        <w:t>Results of operations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Three months ended March 31, 2026 compared to three months ended March 31, 2025</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(in thousands, except share and per share amounts):</w:t>
      </w:r>
    </w:p>
    <w:tbl>
      <w:tblPr>
        <w:tblW w:w="8131" w:type="dxa"/>
        <w:jc w:val="left"/>
        <w:tblInd w:w="0" w:type="dxa"/>
        <w:tblLayout w:type="fixed"/>
        <w:tblCellMar>
          <w:top w:w="0" w:type="dxa"/>
          <w:left w:w="0" w:type="dxa"/>
          <w:bottom w:w="0" w:type="dxa"/>
          <w:right w:w="0" w:type="dxa"/>
        </w:tblCellMar>
      </w:tblPr>
      <w:tblGrid>
        <w:gridCol w:w="5056"/>
        <w:gridCol w:w="346"/>
        <w:gridCol w:w="244"/>
        <w:gridCol w:w="1078"/>
        <w:gridCol w:w="126"/>
        <w:gridCol w:w="244"/>
        <w:gridCol w:w="1037"/>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210560" cy="175260"/>
                      <wp:effectExtent l="0" t="0" r="0" b="0"/>
                      <wp:wrapNone/>
                      <wp:docPr id="146" name="Frame145"/>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4940" cy="175260"/>
                      <wp:effectExtent l="0" t="0" r="0" b="0"/>
                      <wp:wrapNone/>
                      <wp:docPr id="148" name="Frame14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84530" cy="175260"/>
                      <wp:effectExtent l="0" t="0" r="0" b="0"/>
                      <wp:wrapNone/>
                      <wp:docPr id="149" name="Frame148"/>
                      <a:graphic xmlns:a="http://schemas.openxmlformats.org/drawingml/2006/main">
                        <a:graphicData uri="http://schemas.microsoft.com/office/word/2010/wordprocessingShape">
                          <wps:wsp>
                            <wps:cNvSpPr txBox="1"/>
                            <wps:spPr>
                              <a:xfrm>
                                <a:off x="0" y="0"/>
                                <a:ext cx="6845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80010" cy="175260"/>
                      <wp:effectExtent l="0" t="0" r="0" b="0"/>
                      <wp:wrapNone/>
                      <wp:docPr id="150" name="Frame149"/>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4940" cy="175260"/>
                      <wp:effectExtent l="0" t="0" r="0" b="0"/>
                      <wp:wrapNone/>
                      <wp:docPr id="151" name="Frame150"/>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58495" cy="175260"/>
                      <wp:effectExtent l="0" t="0" r="0" b="0"/>
                      <wp:wrapNone/>
                      <wp:docPr id="152" name="Frame151"/>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3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1078" w:type="dxa"/>
            <w:tcBorders/>
            <w:shd w:fill="CCEEFF" w:val="clear"/>
            <w:vAlign w:val="center"/>
          </w:tcPr>
          <w:p>
            <w:pPr>
              <w:pStyle w:val="TableContents"/>
              <w:bidi w:val="0"/>
              <w:spacing w:lineRule="auto" w:line="285" w:before="0" w:after="0"/>
              <w:ind w:left="0" w:right="0" w:hanging="0"/>
              <w:jc w:val="left"/>
              <w:rPr/>
            </w:pPr>
            <w:r>
              <w:rPr/>
              <w:t>​</w:t>
            </w:r>
          </w:p>
        </w:tc>
        <w:tc>
          <w:tcPr>
            <w:tcW w:w="12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left"/>
              <w:rPr/>
            </w:pPr>
            <w:r>
              <w:rPr/>
              <w:t>​</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12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2,327</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1,924</w:t>
            </w:r>
          </w:p>
        </w:tc>
        <w:tc>
          <w:tcPr>
            <w:tcW w:w="1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1,559</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1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(4,025)</w:t>
            </w:r>
          </w:p>
        </w:tc>
        <w:tc>
          <w:tcPr>
            <w:tcW w:w="1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1078" w:type="dxa"/>
            <w:tcBorders/>
            <w:vAlign w:val="center"/>
          </w:tcPr>
          <w:p>
            <w:pPr>
              <w:pStyle w:val="TableContents"/>
              <w:bidi w:val="0"/>
              <w:spacing w:lineRule="auto" w:line="285" w:before="0" w:after="0"/>
              <w:ind w:left="0" w:right="0" w:hanging="0"/>
              <w:jc w:val="right"/>
              <w:rPr/>
            </w:pPr>
            <w:r>
              <w:rPr/>
              <w:t>​</w:t>
            </w:r>
          </w:p>
        </w:tc>
        <w:tc>
          <w:tcPr>
            <w:tcW w:w="12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107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26" w:type="dxa"/>
            <w:tcBorders/>
            <w:shd w:fill="CCEEFF" w:val="clear"/>
            <w:vAlign w:val="center"/>
          </w:tcPr>
          <w:p>
            <w:pPr>
              <w:pStyle w:val="TableContents"/>
              <w:bidi w:val="0"/>
              <w:spacing w:lineRule="auto" w:line="285" w:before="0" w:after="0"/>
              <w:ind w:left="0" w:right="0" w:hanging="0"/>
              <w:jc w:val="left"/>
              <w:rPr/>
            </w:pPr>
            <w:r>
              <w:rPr/>
              <w:t>​</w:t>
            </w:r>
          </w:p>
        </w:tc>
        <w:tc>
          <w:tcPr>
            <w:tcW w:w="24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5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50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107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126" w:type="dxa"/>
            <w:tcBorders/>
            <w:vAlign w:val="center"/>
          </w:tcPr>
          <w:p>
            <w:pPr>
              <w:pStyle w:val="TableContents"/>
              <w:bidi w:val="0"/>
              <w:spacing w:lineRule="auto" w:line="285" w:before="0" w:after="0"/>
              <w:ind w:left="0" w:right="0" w:hanging="0"/>
              <w:jc w:val="left"/>
              <w:rPr/>
            </w:pPr>
            <w:r>
              <w:rPr/>
              <w:t>​</w:t>
            </w:r>
          </w:p>
        </w:tc>
        <w:tc>
          <w:tcPr>
            <w:tcW w:w="24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50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(3,823)</w:t>
            </w:r>
          </w:p>
        </w:tc>
        <w:tc>
          <w:tcPr>
            <w:tcW w:w="1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(3,671)</w:t>
            </w:r>
          </w:p>
        </w:tc>
      </w:tr>
      <w:tr>
        <w:trPr/>
        <w:tc>
          <w:tcPr>
            <w:tcW w:w="50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Loss per share of common stock, basic and diluted </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(0.79)</w:t>
            </w:r>
          </w:p>
        </w:tc>
        <w:tc>
          <w:tcPr>
            <w:tcW w:w="1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50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basic and diluted</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4,859,567</w:t>
            </w:r>
          </w:p>
        </w:tc>
        <w:tc>
          <w:tcPr>
            <w:tcW w:w="12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7"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sz w:val="20"/>
              </w:rPr>
            </w:pPr>
            <w:r>
              <w:rPr>
                <w:rFonts w:ascii="Times New Roman;Times;serif" w:hAnsi="Times New Roman;Times;serif"/>
                <w:sz w:val="20"/>
              </w:rPr>
              <w:t>933,109</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i/>
          <w:sz w:val="20"/>
        </w:rPr>
      </w:pPr>
      <w:r>
        <w:rPr>
          <w:rFonts w:ascii="Times New Roman;Times;serif" w:hAnsi="Times New Roman;Times;serif"/>
          <w:i/>
          <w:sz w:val="20"/>
        </w:rPr>
        <w:t>Total operating expenses and loss from operations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Our total operating expenses and loss from operations for the three months ended March 31, 2026 were $4.0 million, an increase of approximately $0.1 million, or 3.6%, compared to the corresponding period in 2025. This increase was mainly attributable to higher general and administrative</w:t>
      </w:r>
      <w:r>
        <w:rPr>
          <w:rFonts w:ascii="Times New Roman;Times;serif" w:hAnsi="Times New Roman;Times;serif"/>
          <w:color w:val="212529"/>
          <w:sz w:val="20"/>
          <w:shd w:fill="FFFFFF" w:val="clear"/>
        </w:rPr>
        <w:t xml:space="preserve"> (“G&amp;A”) expenses </w:t>
      </w:r>
      <w:r>
        <w:rPr>
          <w:rFonts w:ascii="Times New Roman;Times;serif" w:hAnsi="Times New Roman;Times;serif"/>
          <w:sz w:val="20"/>
        </w:rPr>
        <w:t xml:space="preserve">for the three months ended March 31, 2026, partially offset by lower R&amp;D expenses. Our R&amp;D expenses were $2.1 million for the three months ended March 31, 2026, a decrease of $0.2 million, or 9.7%, compared to the corresponding period in 2025. </w:t>
      </w:r>
      <w:r>
        <w:rPr>
          <w:rFonts w:ascii="Times New Roman;Times;serif" w:hAnsi="Times New Roman;Times;serif"/>
          <w:color w:val="212529"/>
          <w:sz w:val="20"/>
          <w:shd w:fill="FFFFFF" w:val="clear"/>
        </w:rPr>
        <w:t xml:space="preserve">Our G&amp;A expenses were $1.9 million for the three months ended </w:t>
      </w:r>
      <w:r>
        <w:rPr>
          <w:rFonts w:ascii="Times New Roman;Times;serif" w:hAnsi="Times New Roman;Times;serif"/>
          <w:sz w:val="20"/>
        </w:rPr>
        <w:t>March 31,</w:t>
      </w:r>
      <w:r>
        <w:rPr>
          <w:rFonts w:ascii="Times New Roman;Times;serif" w:hAnsi="Times New Roman;Times;serif"/>
          <w:color w:val="212529"/>
          <w:sz w:val="20"/>
          <w:shd w:fill="FFFFFF" w:val="clear"/>
        </w:rPr>
        <w:t xml:space="preserve"> 2026, an increase of approximately $0.4 million, or 23.4%, compared to the corresponding period in 2025. </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The following table summarizes our R&amp;D expenses for the three months ended March 31, 2026 and 2025 (in thousands):</w:t>
      </w:r>
    </w:p>
    <w:tbl>
      <w:tblPr>
        <w:tblW w:w="7787" w:type="dxa"/>
        <w:jc w:val="left"/>
        <w:tblInd w:w="0" w:type="dxa"/>
        <w:tblLayout w:type="fixed"/>
        <w:tblCellMar>
          <w:top w:w="0" w:type="dxa"/>
          <w:left w:w="0" w:type="dxa"/>
          <w:bottom w:w="0" w:type="dxa"/>
          <w:right w:w="0" w:type="dxa"/>
        </w:tblCellMar>
      </w:tblPr>
      <w:tblGrid>
        <w:gridCol w:w="3616"/>
        <w:gridCol w:w="346"/>
        <w:gridCol w:w="338"/>
        <w:gridCol w:w="916"/>
        <w:gridCol w:w="174"/>
        <w:gridCol w:w="338"/>
        <w:gridCol w:w="916"/>
        <w:gridCol w:w="346"/>
        <w:gridCol w:w="211"/>
        <w:gridCol w:w="5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96160" cy="175260"/>
                      <wp:effectExtent l="0" t="0" r="0" b="0"/>
                      <wp:wrapNone/>
                      <wp:docPr id="153" name="Frame15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4630" cy="175260"/>
                      <wp:effectExtent l="0" t="0" r="0" b="0"/>
                      <wp:wrapNone/>
                      <wp:docPr id="155" name="Frame154"/>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81660" cy="175260"/>
                      <wp:effectExtent l="0" t="0" r="0" b="0"/>
                      <wp:wrapNone/>
                      <wp:docPr id="156" name="Frame15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10490" cy="175260"/>
                      <wp:effectExtent l="0" t="0" r="0" b="0"/>
                      <wp:wrapNone/>
                      <wp:docPr id="157" name="Frame156"/>
                      <a:graphic xmlns:a="http://schemas.openxmlformats.org/drawingml/2006/main">
                        <a:graphicData uri="http://schemas.microsoft.com/office/word/2010/wordprocessingShape">
                          <wps:wsp>
                            <wps:cNvSpPr txBox="1"/>
                            <wps:spPr>
                              <a:xfrm>
                                <a:off x="0" y="0"/>
                                <a:ext cx="110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4630" cy="175260"/>
                      <wp:effectExtent l="0" t="0" r="0" b="0"/>
                      <wp:wrapNone/>
                      <wp:docPr id="158" name="Frame15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1660" cy="175260"/>
                      <wp:effectExtent l="0" t="0" r="0" b="0"/>
                      <wp:wrapNone/>
                      <wp:docPr id="159" name="Frame15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72110" cy="175260"/>
                      <wp:effectExtent l="0" t="0" r="0" b="0"/>
                      <wp:wrapNone/>
                      <wp:docPr id="162" name="Frame1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82"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2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7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7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Vanoglipel costs</w:t>
            </w:r>
          </w:p>
        </w:tc>
        <w:tc>
          <w:tcPr>
            <w:tcW w:w="346"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7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DA-1726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17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R&amp;D costs</w:t>
            </w:r>
          </w:p>
        </w:tc>
        <w:tc>
          <w:tcPr>
            <w:tcW w:w="346"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7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61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Indirect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174"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Employee compensation and benefits costs</w:t>
            </w:r>
          </w:p>
        </w:tc>
        <w:tc>
          <w:tcPr>
            <w:tcW w:w="346"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w:t>
            </w:r>
          </w:p>
        </w:tc>
        <w:tc>
          <w:tcPr>
            <w:tcW w:w="174"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6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Consulting expenses</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61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2,101</w:t>
            </w:r>
          </w:p>
        </w:tc>
        <w:tc>
          <w:tcPr>
            <w:tcW w:w="17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bl>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$0.2 million decrease in R&amp;D expenses reflects decreased R&amp;D activities related to the Phase 2a clinical trial for vanoglipel during the three months ended March 31, 2026 as compared to the corresponding period in 2025. Specifically, the decrease in R&amp;D expenses was primarily attributable to (i) $0.1 million in lower direct R&amp;D expenses related to vanoglipel product development and (ii) $0.1 million in lower indirect employee compensation and benefits costs. Included in direct R&amp;D costs were expenses totaling $0.7 million and $1.1 million for the three months ended </w:t>
      </w:r>
      <w:r>
        <w:rPr>
          <w:rFonts w:ascii="Times New Roman;Times;serif" w:hAnsi="Times New Roman;Times;serif"/>
          <w:sz w:val="20"/>
        </w:rPr>
        <w:t>March 31</w:t>
      </w:r>
      <w:r>
        <w:rPr>
          <w:rFonts w:ascii="Times New Roman;Times;serif" w:hAnsi="Times New Roman;Times;serif"/>
          <w:color w:val="212529"/>
          <w:sz w:val="20"/>
          <w:shd w:fill="FFFFFF" w:val="clear"/>
        </w:rPr>
        <w:t xml:space="preserve">, 2026 and 2025, respectively, related to investigational drug manufacturing, non-clinical and preclinical costs incurred under the Shared Services Agreement with Dong-A ST (related party). </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color w:val="212529"/>
          <w:sz w:val="20"/>
          <w:shd w:fill="FFFFFF" w:val="clear"/>
        </w:rPr>
        <w:t xml:space="preserve">The approximately $0.4 million increase in </w:t>
      </w:r>
      <w:r>
        <w:rPr>
          <w:rFonts w:ascii="Times New Roman;Times;serif" w:hAnsi="Times New Roman;Times;serif"/>
          <w:sz w:val="20"/>
        </w:rPr>
        <w:t>G&amp;A</w:t>
      </w:r>
      <w:r>
        <w:rPr>
          <w:rFonts w:ascii="Times New Roman;Times;serif" w:hAnsi="Times New Roman;Times;serif"/>
          <w:color w:val="212529"/>
          <w:sz w:val="20"/>
          <w:shd w:fill="FFFFFF" w:val="clear"/>
        </w:rPr>
        <w:t xml:space="preserve"> expenses was primarily attributable to (i) approximately $0.1 million in higher consulting expenditures, (ii) approximately $0.1 million in higher franchise tax expenses, and (iii) $0.1 million in higher legal and professional fees.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Total other income</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total other income for the </w:t>
      </w:r>
      <w:r>
        <w:rPr>
          <w:rFonts w:ascii="Times New Roman;Times;serif" w:hAnsi="Times New Roman;Times;serif"/>
          <w:sz w:val="20"/>
          <w:shd w:fill="FFFFFF" w:val="clear"/>
        </w:rPr>
        <w:t xml:space="preserve">three months ended </w:t>
      </w:r>
      <w:r>
        <w:rPr>
          <w:rFonts w:ascii="Times New Roman;Times;serif" w:hAnsi="Times New Roman;Times;serif"/>
          <w:sz w:val="20"/>
        </w:rPr>
        <w:t>March 31,</w:t>
      </w:r>
      <w:r>
        <w:rPr>
          <w:rFonts w:ascii="Times New Roman;Times;serif" w:hAnsi="Times New Roman;Times;serif"/>
          <w:sz w:val="20"/>
          <w:shd w:fill="FFFFFF" w:val="clear"/>
        </w:rPr>
        <w:t xml:space="preserve"> 2026 was $0.2 million, consistent with t</w:t>
      </w:r>
      <w:r>
        <w:rPr>
          <w:rFonts w:ascii="Times New Roman;Times;serif" w:hAnsi="Times New Roman;Times;serif"/>
          <w:sz w:val="20"/>
        </w:rPr>
        <w:t xml:space="preserve">he corresponding period in 2025. </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Provision for income taxes</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Our provision for income taxes and effective tax rate for the </w:t>
      </w:r>
      <w:r>
        <w:rPr>
          <w:rFonts w:ascii="Times New Roman;Times;serif" w:hAnsi="Times New Roman;Times;serif"/>
          <w:sz w:val="20"/>
          <w:shd w:fill="FFFFFF" w:val="clear"/>
        </w:rPr>
        <w:t xml:space="preserve">three months ended </w:t>
      </w:r>
      <w:r>
        <w:rPr>
          <w:rFonts w:ascii="Times New Roman;Times;serif" w:hAnsi="Times New Roman;Times;serif"/>
          <w:sz w:val="20"/>
        </w:rPr>
        <w:t>March 31,</w:t>
      </w:r>
      <w:r>
        <w:rPr>
          <w:rFonts w:ascii="Times New Roman;Times;serif" w:hAnsi="Times New Roman;Times;serif"/>
          <w:sz w:val="20"/>
          <w:shd w:fill="FFFFFF" w:val="clear"/>
        </w:rPr>
        <w:t xml:space="preserve"> 2026 and 2025</w:t>
      </w:r>
      <w:r>
        <w:rPr>
          <w:rFonts w:ascii="Times New Roman;Times;serif" w:hAnsi="Times New Roman;Times;serif"/>
          <w:sz w:val="20"/>
        </w:rPr>
        <w:t xml:space="preserve"> were zero as we have recorded a full valuation allowance for the income tax benefits attributable to our pre-tax losses.</w:t>
      </w:r>
    </w:p>
    <w:p>
      <w:pPr>
        <w:pStyle w:val="TextBody"/>
        <w:bidi w:val="0"/>
        <w:spacing w:lineRule="auto" w:line="285" w:before="160" w:after="16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pBd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For the three months ended March 31,</w:t>
      </w:r>
      <w:r>
        <w:rPr>
          <w:rFonts w:ascii="Times New Roman;Times;serif" w:hAnsi="Times New Roman;Times;serif"/>
          <w:sz w:val="20"/>
          <w:shd w:fill="FFFFFF" w:val="clear"/>
        </w:rPr>
        <w:t xml:space="preserve"> 2026</w:t>
      </w:r>
      <w:r>
        <w:rPr>
          <w:rFonts w:ascii="Times New Roman;Times;serif" w:hAnsi="Times New Roman;Times;serif"/>
          <w:sz w:val="20"/>
        </w:rPr>
        <w:t xml:space="preserve">, we had a net loss of $3.8 million, or $0.79 per share of basic and diluted common stock, compared to a net loss of $3.7 million, or $3.93 per share of basic and diluted common stock for </w:t>
      </w:r>
      <w:r>
        <w:rPr>
          <w:rFonts w:ascii="Times New Roman;Times;serif" w:hAnsi="Times New Roman;Times;serif"/>
          <w:sz w:val="20"/>
          <w:shd w:fill="FFFFFF" w:val="clear"/>
        </w:rPr>
        <w:t>t</w:t>
      </w:r>
      <w:r>
        <w:rPr>
          <w:rFonts w:ascii="Times New Roman;Times;serif" w:hAnsi="Times New Roman;Times;serif"/>
          <w:sz w:val="20"/>
        </w:rPr>
        <w:t>he corresponding period</w:t>
      </w:r>
      <w:r>
        <w:rPr>
          <w:rFonts w:ascii="Times New Roman;Times;serif" w:hAnsi="Times New Roman;Times;serif"/>
          <w:sz w:val="20"/>
          <w:shd w:fill="FFFFFF" w:val="clear"/>
        </w:rPr>
        <w:t xml:space="preserve"> in 2025</w:t>
      </w:r>
      <w:r>
        <w:rPr>
          <w:rFonts w:ascii="Times New Roman;Times;serif" w:hAnsi="Times New Roman;Times;serif"/>
          <w:sz w:val="20"/>
        </w:rPr>
        <w:t>, primarily due to the factors described above.</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Going concern</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As reflected in the unaudited condensed consolidated financial statements, we had $13.7 million in cash and cash equivalents as of March 31, 2026. We have experienced net losses and negative cash flows from operating activities since our inception and had an accumulated deficit of $152.7 million as of March 31, 2026. We have incurred a net loss of $3.8 million and net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cash used in operating activities of $4.3 million for the three months ended March 31, 2026. Due in large part to the ongoing clinical trials, we expect to continue to incur net losses and negative cash flows from operating activities for the foreseeable future. These conditions raise substantial doubt about our ability to continue as a going concern within one year from the issuance of these unaudited condensed consolidated financial statements.</w:t>
      </w:r>
    </w:p>
    <w:p>
      <w:pPr>
        <w:pStyle w:val="TextBody"/>
        <w:bidi w:val="0"/>
        <w:spacing w:lineRule="auto" w:line="285" w:before="0" w:after="160"/>
        <w:ind w:left="0" w:right="0" w:hanging="0"/>
        <w:jc w:val="both"/>
        <w:rPr>
          <w:rFonts w:ascii="Times New Roman;Times;serif" w:hAnsi="Times New Roman;Times;serif"/>
          <w:sz w:val="20"/>
        </w:rPr>
      </w:pPr>
      <w:bookmarkStart w:id="659" w:name="_Hlk212456534"/>
      <w:bookmarkEnd w:id="659"/>
      <w:r>
        <w:rPr>
          <w:rFonts w:ascii="Times New Roman;Times;serif" w:hAnsi="Times New Roman;Times;serif"/>
          <w:sz w:val="20"/>
          <w:shd w:fill="FFFFFF" w:val="clear"/>
        </w:rPr>
        <w:t xml:space="preserve">We plan to continue to fund our operations from equity offerings, debt financing, </w:t>
      </w:r>
      <w:r>
        <w:rPr>
          <w:rFonts w:ascii="Times New Roman;Times;serif" w:hAnsi="Times New Roman;Times;serif"/>
          <w:color w:val="212529"/>
          <w:sz w:val="20"/>
          <w:shd w:fill="FFFFFF" w:val="clear"/>
        </w:rPr>
        <w:t xml:space="preserve">exercise of existing warrants, </w:t>
      </w:r>
      <w:r>
        <w:rPr>
          <w:rFonts w:ascii="Times New Roman;Times;serif" w:hAnsi="Times New Roman;Times;serif"/>
          <w:sz w:val="20"/>
          <w:shd w:fill="FFFFFF" w:val="clear"/>
        </w:rPr>
        <w:t xml:space="preserve">or other sources, potentially including collaborations, out-licensing and other similar arrangements. However, there can be no assurance that we will be able to obtain any sources of financing on acceptable terms, or at all, </w:t>
      </w:r>
      <w:r>
        <w:rPr>
          <w:rFonts w:ascii="Times New Roman;Times;serif" w:hAnsi="Times New Roman;Times;serif"/>
          <w:color w:val="212529"/>
          <w:sz w:val="20"/>
          <w:shd w:fill="FFFFFF" w:val="clear"/>
        </w:rPr>
        <w:t>or that the warrants issued in previously consummated offerings will be exercised.</w:t>
      </w:r>
      <w:r>
        <w:rPr>
          <w:rFonts w:ascii="Times New Roman;Times;serif" w:hAnsi="Times New Roman;Times;serif"/>
          <w:sz w:val="20"/>
          <w:shd w:fill="FFFFFF" w:val="clear"/>
        </w:rPr>
        <w:t xml:space="preserve"> To the extent that we can raise additional funds by issuing equity securities or in the event our existing warrants are exercised, our stockholders may experience significant dilution. Any debt financing, if available, 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us. </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determination as to whether we can continue as a going concern contemplates the realization of assets and the satisfaction of liabilities in the normal course of business. Our unaudited condensed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pStyle w:val="TextBody"/>
        <w:bidi w:val="0"/>
        <w:spacing w:lineRule="auto" w:line="285" w:before="160" w:after="16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Our primary use of cash is to fund our R&amp;D activities. We have funded our operations primarily through public offerings of our common stock and private placements of equity and convertible securities. As of March 31, 2026, we had cash and cash equivalents totaling $13.7 million. We maintain cash and cash equivalents at a financial institution that at times may exceed the Federal Deposit Insurance Corporation insured limits of $0.25 million per bank. To date, we have not experienced any losses related to these funds. Our cash equivalents consist principally of bank money market accounts and these securities are carried at cost, which approximates market value.</w:t>
      </w:r>
    </w:p>
    <w:p>
      <w:pPr>
        <w:pStyle w:val="TextBody"/>
        <w:shd w:fill="FFFFFF" w:val="clear"/>
        <w:bidi w:val="0"/>
        <w:spacing w:lineRule="auto" w:line="285" w:before="0" w:after="160"/>
        <w:ind w:left="0" w:right="0" w:hanging="0"/>
        <w:jc w:val="both"/>
        <w:rPr>
          <w:rFonts w:ascii="Times New Roman;Times;serif" w:hAnsi="Times New Roman;Times;serif"/>
          <w:i/>
          <w:color w:val="212529"/>
          <w:sz w:val="20"/>
        </w:rPr>
      </w:pPr>
      <w:r>
        <w:rPr>
          <w:rFonts w:ascii="Times New Roman;Times;serif" w:hAnsi="Times New Roman;Times;serif"/>
          <w:i/>
          <w:color w:val="212529"/>
          <w:sz w:val="20"/>
        </w:rPr>
        <w:t>Public offering</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In January 2026, we closed on an underwritten public offering and received net proceeds of $7.1 million, pursuant to which we issued and sold, (i) 1,006,870 Class A Units, with each Class A Unit consisting of (A) one share of common stock, (B) 1.5 Series C Common Warrants to purchase 1.5 shares of common stock, and (C) 1.5 Series D Common Warrants to purchase 1.5 shares of common stock, at a price of $3.10 per Class A Unit, and (ii) 1,998,704 Class B Units, with each Class B Unit consisting of (A) one pre-funded warrant to purchase one share of common stock, (B) 1.5 Series C Common Warrants to purchase 1.5 shares of common stock, and (C) 1.5 Series D Common Warrants to purchase 1.5 shares of common stock, at a purchase price of $3.099 per Class B Unit. Each pre-funded warrant has an exercise price of $0.001 per share and is immediately exercisable and will expire when exercised in full. Each Series C Common Warrant and Series D Common Warrant has an exercise price of $3.10 per 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w:t>
      </w:r>
    </w:p>
    <w:p>
      <w:pPr>
        <w:pStyle w:val="TextBody"/>
        <w:bidi w:val="0"/>
        <w:spacing w:lineRule="auto" w:line="285" w:before="160" w:after="160"/>
        <w:ind w:left="0" w:right="0" w:hanging="0"/>
        <w:jc w:val="both"/>
        <w:rPr>
          <w:rFonts w:ascii="Times New Roman;Times;serif" w:hAnsi="Times New Roman;Times;serif"/>
          <w:sz w:val="20"/>
        </w:rPr>
      </w:pPr>
      <w:r>
        <w:rPr>
          <w:rFonts w:ascii="Times New Roman;Times;serif" w:hAnsi="Times New Roman;Times;serif"/>
          <w:sz w:val="20"/>
        </w:rPr>
        <w:t xml:space="preserve">The Series D Common Warrants are callable at our option following the release of a positive data readout for our Phase 1, Part 3 clinical trial for DA-1726 via a widely disseminated press release, subject to the satisfaction of certain conditions. The Series C and Series D Common Warrants are fixed priced and do not contain any variable pricing features or alternative exercise provisions. </w:t>
      </w:r>
    </w:p>
    <w:p>
      <w:pPr>
        <w:pStyle w:val="TextBody"/>
        <w:pBd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As of March 31, 2026, 1,630,964 of the pre-funded warrants issued in the January 2026 underwritten public offering have been exercised for an equivalent number of shares of our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pBdr/>
        <w:shd w:fill="FFFFFF" w:val="clear"/>
        <w:bidi w:val="0"/>
        <w:spacing w:lineRule="auto" w:line="285" w:before="0" w:after="0"/>
        <w:ind w:left="0" w:right="0" w:hanging="0"/>
        <w:jc w:val="both"/>
        <w:rPr>
          <w:rFonts w:ascii="Times New Roman;Times;serif" w:hAnsi="Times New Roman;Times;serif"/>
          <w:i/>
          <w:color w:val="212529"/>
          <w:sz w:val="20"/>
        </w:rPr>
      </w:pPr>
      <w:r>
        <w:rPr>
          <w:rFonts w:ascii="Times New Roman;Times;serif" w:hAnsi="Times New Roman;Times;serif"/>
          <w:i/>
          <w:color w:val="212529"/>
          <w:sz w:val="20"/>
        </w:rPr>
        <w:t>At the market offering</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November 2025, we entered into an At The Market Offering Agreement (the “ATM Sales Agreement”) with Ladenburg Thalmann &amp; Co. Inc., as sales agent and/or principal (“Ladenburg”), pursuant to which we may offer and sell, from time to time through or to Ladenburg, shares of our common stock having an aggregate offering price of up to $2.3 million (the “ATM Program”). The offer and sale of the shares of common stock pursuant to the ATM Program is made pursuant to a shelf registration statement on Form S-3 and the related prospectus (File No. 333-278646) filed with the SEC on April 12, 2024, and declared effective by the SEC on April 23, 2024, as supplemented by a prospectus supplement to be filed with the SEC on November 6, 2025 pursuant to Rule 424(b) under the Securities Act.</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 March 2026, we sold 216,625 shares of common stock under the ATM Program and received net proceeds of $0.3 million, net of sales agent commission and related offering expenses. As of March 31, 2026, we have $0.8 million remaining under the ATM Program in which we may offer and sell shares of our common stock.</w:t>
      </w:r>
    </w:p>
    <w:p>
      <w:pPr>
        <w:pStyle w:val="TextBody"/>
        <w:shd w:fill="FFFFFF" w:val="clear"/>
        <w:bidi w:val="0"/>
        <w:spacing w:lineRule="auto" w:line="285" w:before="0" w:after="160"/>
        <w:ind w:left="0" w:right="0" w:hanging="0"/>
        <w:jc w:val="both"/>
        <w:rPr>
          <w:rFonts w:ascii="Times New Roman;Times;serif" w:hAnsi="Times New Roman;Times;serif"/>
          <w:b/>
          <w:sz w:val="20"/>
        </w:rPr>
      </w:pPr>
      <w:r>
        <w:rPr>
          <w:rFonts w:ascii="Times New Roman;Times;serif" w:hAnsi="Times New Roman;Times;serif"/>
          <w:b/>
          <w:sz w:val="20"/>
        </w:rPr>
        <w:t>Cash flows</w:t>
      </w:r>
    </w:p>
    <w:p>
      <w:pPr>
        <w:pStyle w:val="TextBody"/>
        <w:bidi w:val="0"/>
        <w:spacing w:lineRule="auto" w:line="285" w:before="0" w:after="16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principal use of cash in operating activities is to fund our current expenditures in support of our R&amp;D activities. Financing activities currently represent the principal source of our cash flow. The following table reflects the major categories of cash flows (in thousands).</w:t>
      </w:r>
    </w:p>
    <w:tbl>
      <w:tblPr>
        <w:tblW w:w="7396" w:type="dxa"/>
        <w:jc w:val="left"/>
        <w:tblInd w:w="0" w:type="dxa"/>
        <w:tblLayout w:type="fixed"/>
        <w:tblCellMar>
          <w:top w:w="0" w:type="dxa"/>
          <w:left w:w="0" w:type="dxa"/>
          <w:bottom w:w="0" w:type="dxa"/>
          <w:right w:w="0" w:type="dxa"/>
        </w:tblCellMar>
      </w:tblPr>
      <w:tblGrid>
        <w:gridCol w:w="4321"/>
        <w:gridCol w:w="346"/>
        <w:gridCol w:w="294"/>
        <w:gridCol w:w="963"/>
        <w:gridCol w:w="152"/>
        <w:gridCol w:w="294"/>
        <w:gridCol w:w="102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743835" cy="175260"/>
                      <wp:effectExtent l="0" t="0" r="0" b="0"/>
                      <wp:wrapNone/>
                      <wp:docPr id="163" name="Frame16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6690" cy="175260"/>
                      <wp:effectExtent l="0" t="0" r="0" b="0"/>
                      <wp:wrapNone/>
                      <wp:docPr id="165" name="Frame16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11505" cy="175260"/>
                      <wp:effectExtent l="0" t="0" r="0" b="0"/>
                      <wp:wrapNone/>
                      <wp:docPr id="166" name="Frame165"/>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6520" cy="175260"/>
                      <wp:effectExtent l="0" t="0" r="0" b="0"/>
                      <wp:wrapNone/>
                      <wp:docPr id="167" name="Frame166"/>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6690" cy="175260"/>
                      <wp:effectExtent l="0" t="0" r="0" b="0"/>
                      <wp:wrapNone/>
                      <wp:docPr id="168" name="Frame16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51510" cy="175260"/>
                      <wp:effectExtent l="0" t="0" r="0" b="0"/>
                      <wp:wrapNone/>
                      <wp:docPr id="169" name="Frame168"/>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Three Months Ended March 31,</w:t>
            </w:r>
          </w:p>
        </w:tc>
      </w:tr>
      <w:tr>
        <w:trPr/>
        <w:tc>
          <w:tcPr>
            <w:tcW w:w="43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1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43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(4,258)</w:t>
            </w:r>
          </w:p>
        </w:tc>
        <w:tc>
          <w:tcPr>
            <w:tcW w:w="152" w:type="dxa"/>
            <w:tcBorders/>
            <w:shd w:fill="CCEEFF" w:val="clear"/>
            <w:vAlign w:val="center"/>
          </w:tcPr>
          <w:p>
            <w:pPr>
              <w:pStyle w:val="TableContents"/>
              <w:bidi w:val="0"/>
              <w:spacing w:lineRule="auto" w:line="285" w:before="0" w:after="0"/>
              <w:ind w:left="0" w:right="0" w:hanging="0"/>
              <w:jc w:val="right"/>
              <w:rPr/>
            </w:pPr>
            <w:r>
              <w:rPr/>
              <w:t>​</w:t>
            </w:r>
          </w:p>
        </w:tc>
        <w:tc>
          <w:tcPr>
            <w:tcW w:w="2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(4,815)</w:t>
            </w:r>
          </w:p>
        </w:tc>
      </w:tr>
      <w:tr>
        <w:trPr/>
        <w:tc>
          <w:tcPr>
            <w:tcW w:w="43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7,711</w:t>
            </w:r>
          </w:p>
        </w:tc>
        <w:tc>
          <w:tcPr>
            <w:tcW w:w="1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3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1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(4,827)</w:t>
            </w:r>
          </w:p>
        </w:tc>
      </w:tr>
    </w:tbl>
    <w:p>
      <w:pPr>
        <w:pStyle w:val="TextBody"/>
        <w:pBdr/>
        <w:shd w:fill="FFFFFF" w:val="clear"/>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 xml:space="preserve">Net cash used in operating activities for the three months ended March 31, 2026 was approximately $4.3 million and primarily attributable to net loss of $3.8 million and net cash used in changes in operating assets and liabilities of $0.4 million. Net cash used in operating activities for the three months ended March 31, 2025 was $4.8 million and primarily attributable to net loss of $3.7 million and net cash used in changes in operating assets and liabilities of $1.2 million, partially offset by non-cash charges totaling $0.1 million, which was primarily related to stock-based compensation and change in fair value of warrant liabilities. </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There were no cash flows used in or provided by investing activities for three months ended March 31, 2026 and 2025.</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for the three months ended March 31, 2026 was $7.7 million and primarily attributable to gross proceeds of (i) $9.3 million from an underwritten public offering in January 2026 and (ii) $0.3 million from the sale of common stock under the ATM Sales Agreement. Partially offsetting these gross proceeds was an aggregate payment of $1.9 million in issuance costs in connection with the sale of common stock and warrants under an underwritten public offering and under an at the market offering agreement. Net cash used in financing activities for the three months ended March 31, 2025 was less than $0.1 million, related to the payment of employee withholding taxes related to shares withheld from the issuance of vested restricted stock units.</w:t>
      </w:r>
    </w:p>
    <w:p>
      <w:pPr>
        <w:pStyle w:val="TextBody"/>
        <w:pBdr/>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For additional details, see the unaudited condensed consolidated statements of cash flows in the unaudited condensed consolidated financial statements included elsewhere in this Report.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pBdr/>
        <w:shd w:fill="FFFFFF" w:val="clear"/>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Our unaudited condensed consolidated financial statements included in this Report have been prepared in accordance with accounting principles generally accepted in the United States of America (“GAAP”).</w:t>
      </w:r>
    </w:p>
    <w:p>
      <w:pPr>
        <w:pStyle w:val="TextBody"/>
        <w:bidi w:val="0"/>
        <w:spacing w:lineRule="auto" w:line="285"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liabilities, expenses, and related disclosure of contingent assets and liabilities at the date of the unaudited condensed consolidated financial statements and the reported amounts of expenses during the reporting period. The most significant estimates in our unaudited condensed consolidated financial statements relate to accrued expenses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 </w:t>
      </w:r>
    </w:p>
    <w:p>
      <w:pPr>
        <w:pStyle w:val="TextBody"/>
        <w:pBd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There have been no material changes to our </w:t>
      </w:r>
      <w:r>
        <w:rPr>
          <w:rFonts w:ascii="Times New Roman;Times;serif" w:hAnsi="Times New Roman;Times;serif"/>
          <w:sz w:val="20"/>
        </w:rPr>
        <w:t>critical accounting estimates and judgments</w:t>
      </w:r>
      <w:r>
        <w:rPr>
          <w:rFonts w:ascii="Times New Roman;Times;serif" w:hAnsi="Times New Roman;Times;serif"/>
          <w:sz w:val="20"/>
          <w:shd w:fill="FFFFFF" w:val="clear"/>
        </w:rPr>
        <w:t xml:space="preserve"> since December 31, 2025. Refer to our 2025 Form 10-K for a complete discussion of our </w:t>
      </w:r>
      <w:r>
        <w:rPr>
          <w:rFonts w:ascii="Times New Roman;Times;serif" w:hAnsi="Times New Roman;Times;serif"/>
          <w:sz w:val="20"/>
        </w:rPr>
        <w:t>critical accounting estimates and judgments.</w:t>
      </w:r>
    </w:p>
    <w:p>
      <w:pPr>
        <w:pStyle w:val="TextBody"/>
        <w:pBdr/>
        <w:shd w:fill="FFFFFF" w:val="clear"/>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shd w:fill="FFFFFF" w:val="clear"/>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Information regarding (i) adoption of new accounting standards and (ii) accounting standards issued but not yet adopted is included in “Note 1. Business, basis of presentation, new accounting standards and summary of significant accounting policies” to the unaudited condensed consolidated financial statements included in this Report.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60" w:name="ITEM3QUANTITATIVEANDQUALITATIVE_543894"/>
      <w:bookmarkStart w:id="661" w:name="_7b59894b_76b0_44c9_bb6f_e3f58aa7f47c"/>
      <w:bookmarkEnd w:id="660"/>
      <w:bookmarkEnd w:id="661"/>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Not applicable</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62" w:name="ITEM4CONTROLSANDPROCEDURES_128146"/>
      <w:bookmarkStart w:id="663" w:name="_9171479a_113d_43cf_bc32_4234d6198501"/>
      <w:bookmarkEnd w:id="662"/>
      <w:bookmarkEnd w:id="663"/>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As required by Rules 13a-15(b) and 15d-15(b) under Section 21E of the Exchange Act, our management, with the participation of our principal executive officer (“PEO”) and principal financial officer (“PFO”), evaluated the effectiveness of our disclosure controls and procedures (as defined in Rules 13a-15(e) and 15d-15(e) under the Exchange Act) as of the end of the period covered by this Report. Based upon that evaluation, our PEO and PFO concluded that our disclosure controls and procedures were effective as of the end of the period covered by this Report.</w:t>
      </w:r>
    </w:p>
    <w:p>
      <w:pPr>
        <w:pStyle w:val="TextBody"/>
        <w:bidi w:val="0"/>
        <w:spacing w:lineRule="auto" w:line="285" w:before="160" w:after="0"/>
        <w:ind w:left="0" w:right="0" w:hanging="0"/>
        <w:jc w:val="both"/>
        <w:rPr>
          <w:rFonts w:ascii="Times New Roman;Times;serif" w:hAnsi="Times New Roman;Times;serif"/>
          <w:b/>
          <w:sz w:val="20"/>
        </w:rPr>
      </w:pPr>
      <w:r>
        <w:rPr>
          <w:rFonts w:ascii="Times New Roman;Times;serif" w:hAnsi="Times New Roman;Times;serif"/>
          <w:b/>
          <w:sz w:val="20"/>
        </w:rPr>
        <w:t>Inherent limitations of disclosure controls and procedures</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Our management, including our PEO and PFO, does not expect that our disclosure controls and procedures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lineRule="auto" w:line="285" w:before="16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 xml:space="preserve">There have been no changes in our internal control over financial reporting during the quarter ended March 31, 2026 that have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bookmarkStart w:id="664" w:name="PARTIIOTHERINFORMATION_875534"/>
      <w:bookmarkStart w:id="665" w:name="_264f6f3e_cf80_4fdb_a8c0_e53000ffa389"/>
      <w:bookmarkEnd w:id="664"/>
      <w:bookmarkEnd w:id="665"/>
      <w:r>
        <w:rPr>
          <w:rFonts w:ascii="Times New Roman;Times;serif" w:hAnsi="Times New Roman;Times;serif"/>
          <w:b/>
          <w:sz w:val="20"/>
        </w:rPr>
        <w:t>Part II - Other Information</w:t>
      </w:r>
    </w:p>
    <w:p>
      <w:pPr>
        <w:pStyle w:val="TextBody"/>
        <w:bidi w:val="0"/>
        <w:spacing w:lineRule="auto" w:line="285" w:before="0" w:after="160"/>
        <w:ind w:left="0" w:right="0" w:hanging="0"/>
        <w:jc w:val="left"/>
        <w:rPr>
          <w:rFonts w:ascii="Times New Roman;Times;serif" w:hAnsi="Times New Roman;Times;serif"/>
          <w:sz w:val="20"/>
        </w:rPr>
      </w:pPr>
      <w:bookmarkStart w:id="666" w:name="ITEM1LEGALPROCEEDINGS_628869"/>
      <w:bookmarkStart w:id="667" w:name="_Hlk479154150"/>
      <w:bookmarkEnd w:id="666"/>
      <w:bookmarkEnd w:id="667"/>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unaudited condensed consolidated financial statements. Regardless of outcome, litigation can have an adverse impact on us because of defense and settlement costs, diversion of management resources and other factors.</w:t>
      </w:r>
    </w:p>
    <w:p>
      <w:pPr>
        <w:pStyle w:val="TextBody"/>
        <w:pBdr/>
        <w:bidi w:val="0"/>
        <w:spacing w:lineRule="auto" w:line="285" w:before="0" w:after="0"/>
        <w:ind w:left="0" w:right="0" w:hanging="72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68" w:name="ITEM1A_RISK_FACTORS"/>
      <w:bookmarkStart w:id="669" w:name="_31748242_93af_40ea_b3ef_52b81567daac"/>
      <w:bookmarkEnd w:id="668"/>
      <w:bookmarkEnd w:id="669"/>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Our business, financial condition and operating results can be affected by a number of factors, whether currently known or unknown, including but not limited to those described under the heading “Risk Factors” in Part I, Item 1A of the 2025 Form 10-K and in Part II, Item 1A of the Q1 2025 Form 10-Q,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2025 Form 10-K.</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70" w:name="ITEM2UNREGISTEREDSALESOFEQUITY_733918"/>
      <w:bookmarkStart w:id="671" w:name="_927f7468_c907_4259_b305_4ef7a6b32a7c"/>
      <w:bookmarkEnd w:id="670"/>
      <w:bookmarkEnd w:id="671"/>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lineRule="auto" w:line="285"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pBdr/>
        <w:bidi w:val="0"/>
        <w:spacing w:lineRule="auto" w:line="285" w:before="0" w:after="0"/>
        <w:ind w:left="0" w:right="0" w:hanging="72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72" w:name="ITEM3DEFAULTUPON_78011"/>
      <w:bookmarkStart w:id="673" w:name="_caaf508a_dbdd_4538_a90b_16f6bb8a6147"/>
      <w:bookmarkEnd w:id="672"/>
      <w:bookmarkEnd w:id="673"/>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74" w:name="ITEM4MINESAFETYDISCLOSURES_886185"/>
      <w:bookmarkStart w:id="675" w:name="_5807422a_7c30_45d6_a277_f3e2f4de9eaa"/>
      <w:bookmarkEnd w:id="674"/>
      <w:bookmarkEnd w:id="675"/>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both"/>
        <w:rPr/>
      </w:pPr>
      <w:r>
        <w:rPr/>
        <w:t>​</w:t>
      </w:r>
    </w:p>
    <w:p>
      <w:pPr>
        <w:pStyle w:val="TextBody"/>
        <w:bidi w:val="0"/>
        <w:spacing w:lineRule="auto" w:line="285" w:before="0" w:after="160"/>
        <w:ind w:left="0" w:right="0" w:hanging="0"/>
        <w:jc w:val="left"/>
        <w:rPr>
          <w:rFonts w:ascii="Times New Roman;Times;serif" w:hAnsi="Times New Roman;Times;serif"/>
          <w:sz w:val="20"/>
        </w:rPr>
      </w:pPr>
      <w:bookmarkStart w:id="676" w:name="ITEM5OTHERINFORMATION_858772"/>
      <w:bookmarkStart w:id="677" w:name="_29c6b9f4_636c_4657_8d85_261f63c68288"/>
      <w:bookmarkEnd w:id="676"/>
      <w:bookmarkEnd w:id="677"/>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lineRule="auto" w:line="285" w:before="16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left"/>
        <w:rPr>
          <w:rFonts w:ascii="Times New Roman;Times;serif" w:hAnsi="Times New Roman;Times;serif"/>
          <w:sz w:val="20"/>
        </w:rPr>
      </w:pPr>
      <w:bookmarkStart w:id="678" w:name="EXHIBITS_650020"/>
      <w:bookmarkStart w:id="679" w:name="_b4ac8a59_522b_401f_9aff_bec3c97992c1"/>
      <w:bookmarkEnd w:id="678"/>
      <w:bookmarkEnd w:id="679"/>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1015"/>
        <w:gridCol w:w="346"/>
        <w:gridCol w:w="8844"/>
      </w:tblGrid>
      <w:tr>
        <w:trPr/>
        <w:tc>
          <w:tcPr>
            <w:tcW w:w="1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4525" cy="175260"/>
                      <wp:effectExtent l="0" t="0" r="0" b="0"/>
                      <wp:wrapNone/>
                      <wp:docPr id="170" name="Frame169"/>
                      <a:graphic xmlns:a="http://schemas.openxmlformats.org/drawingml/2006/main">
                        <a:graphicData uri="http://schemas.microsoft.com/office/word/2010/wordprocessingShape">
                          <wps:wsp>
                            <wps:cNvSpPr txBox="1"/>
                            <wps:spPr>
                              <a:xfrm>
                                <a:off x="0" y="0"/>
                                <a:ext cx="644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615940" cy="175260"/>
                      <wp:effectExtent l="0" t="0" r="0" b="0"/>
                      <wp:wrapNone/>
                      <wp:docPr id="172" name="Frame171"/>
                      <a:graphic xmlns:a="http://schemas.openxmlformats.org/drawingml/2006/main">
                        <a:graphicData uri="http://schemas.microsoft.com/office/word/2010/wordprocessingShape">
                          <wps:wsp>
                            <wps:cNvSpPr txBox="1"/>
                            <wps:spPr>
                              <a:xfrm>
                                <a:off x="0" y="0"/>
                                <a:ext cx="56159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015" w:type="dxa"/>
            <w:tcBorders>
              <w:bottom w:val="single" w:sz="2" w:space="0" w:color="000000"/>
            </w:tcBorders>
            <w:tcMar>
              <w:bottom w:w="28" w:type="dxa"/>
            </w:tcMar>
            <w:vAlign w:val="center"/>
          </w:tcPr>
          <w:p>
            <w:pPr>
              <w:pStyle w:val="TableContents"/>
              <w:bidi w:val="0"/>
              <w:spacing w:lineRule="auto" w:line="304" w:before="0" w:after="4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346" w:type="dxa"/>
            <w:tcBorders>
              <w:bottom w:val="single" w:sz="2" w:space="0" w:color="000000"/>
            </w:tcBorders>
            <w:tcMar>
              <w:bottom w:w="28" w:type="dxa"/>
            </w:tcMar>
            <w:vAlign w:val="center"/>
          </w:tcPr>
          <w:p>
            <w:pPr>
              <w:pStyle w:val="TableContents"/>
              <w:bidi w:val="0"/>
              <w:spacing w:lineRule="auto" w:line="304" w:before="0" w:after="40"/>
              <w:ind w:left="0" w:right="0" w:hanging="0"/>
              <w:jc w:val="center"/>
              <w:rPr/>
            </w:pPr>
            <w:r>
              <w:rPr/>
              <w:t>  ​ ​ ​</w:t>
            </w:r>
          </w:p>
        </w:tc>
        <w:tc>
          <w:tcPr>
            <w:tcW w:w="8844" w:type="dxa"/>
            <w:tcBorders>
              <w:bottom w:val="single" w:sz="2" w:space="0" w:color="000000"/>
            </w:tcBorders>
            <w:tcMar>
              <w:bottom w:w="28" w:type="dxa"/>
            </w:tcMar>
            <w:vAlign w:val="center"/>
          </w:tcPr>
          <w:p>
            <w:pPr>
              <w:pStyle w:val="TableContents"/>
              <w:bidi w:val="0"/>
              <w:spacing w:lineRule="auto" w:line="304" w:before="0" w:after="40"/>
              <w:ind w:left="0" w:right="0" w:hanging="0"/>
              <w:jc w:val="left"/>
              <w:rPr>
                <w:rFonts w:ascii="Times New Roman;Times;serif" w:hAnsi="Times New Roman;Times;serif"/>
                <w:sz w:val="20"/>
              </w:rPr>
            </w:pPr>
            <w:r>
              <w:rPr>
                <w:rFonts w:ascii="Times New Roman;Times;serif" w:hAnsi="Times New Roman;Times;serif"/>
                <w:sz w:val="20"/>
              </w:rPr>
              <w:t>Description of Document</w:t>
            </w:r>
          </w:p>
        </w:tc>
      </w:tr>
      <w:tr>
        <w:trPr/>
        <w:tc>
          <w:tcPr>
            <w:tcW w:w="1015"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844" w:type="dxa"/>
            <w:tcBorders/>
            <w:shd w:fill="CCEEFF" w:val="clear"/>
            <w:vAlign w:val="center"/>
          </w:tcPr>
          <w:p>
            <w:pPr>
              <w:pStyle w:val="TableContents"/>
              <w:bidi w:val="0"/>
              <w:spacing w:lineRule="auto" w:line="300" w:before="0" w:after="4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Certificate of Incorporation of the Registrant (incorporated by reference to Exhibit 3.1 to the Registrant's Current Report on Form 8-K, filed with the SEC on August 10, 2016).</w:t>
              </w:r>
            </w:hyperlink>
          </w:p>
        </w:tc>
      </w:tr>
      <w:tr>
        <w:trPr/>
        <w:tc>
          <w:tcPr>
            <w:tcW w:w="1015"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285" w:before="0" w:after="0"/>
              <w:ind w:left="0" w:right="0" w:hanging="0"/>
              <w:jc w:val="left"/>
              <w:rPr/>
            </w:pPr>
            <w:r>
              <w:rPr/>
              <w:t>​</w:t>
            </w:r>
          </w:p>
        </w:tc>
        <w:tc>
          <w:tcPr>
            <w:tcW w:w="8844" w:type="dxa"/>
            <w:tcBorders/>
            <w:vAlign w:val="center"/>
          </w:tcPr>
          <w:p>
            <w:pPr>
              <w:pStyle w:val="TableContents"/>
              <w:bidi w:val="0"/>
              <w:spacing w:lineRule="auto" w:line="300" w:before="0" w:after="4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December 31, 2019).</w:t>
              </w:r>
            </w:hyperlink>
          </w:p>
        </w:tc>
      </w:tr>
      <w:tr>
        <w:trPr/>
        <w:tc>
          <w:tcPr>
            <w:tcW w:w="1015"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844" w:type="dxa"/>
            <w:tcBorders/>
            <w:shd w:fill="CCEEFF" w:val="clear"/>
            <w:vAlign w:val="center"/>
          </w:tcPr>
          <w:p>
            <w:pPr>
              <w:pStyle w:val="TableContents"/>
              <w:bidi w:val="0"/>
              <w:spacing w:lineRule="auto" w:line="300" w:before="0" w:after="40"/>
              <w:ind w:left="0" w:right="0" w:hanging="0"/>
              <w:jc w:val="both"/>
              <w:rPr/>
            </w:pPr>
            <w:hyperlink r:id="rId5">
              <w:r>
                <w:rPr>
                  <w:rStyle w:val="InternetLink"/>
                  <w:rFonts w:ascii="Times New Roman;Times;serif" w:hAnsi="Times New Roman;Times;serif"/>
                  <w:b w:val="false"/>
                  <w:i w:val="false"/>
                  <w:caps w:val="false"/>
                  <w:smallCaps w:val="false"/>
                  <w:sz w:val="20"/>
                </w:rPr>
                <w:t>Certificate of Amendment (Name Change) to the Third Amended and Restated Certificate of Incorporation of the Registrant (incorporated by reference to Exhibit 3.2 to the Registrant's Current Report on Form 8-K, filed with the SEC on December 31, 2019).</w:t>
              </w:r>
            </w:hyperlink>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6"/>
        <w:gridCol w:w="109"/>
        <w:gridCol w:w="9400"/>
      </w:tblGrid>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6">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September 12, 2022).</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7">
              <w:r>
                <w:rPr>
                  <w:rStyle w:val="InternetLink"/>
                  <w:rFonts w:ascii="Times New Roman;Times;serif" w:hAnsi="Times New Roman;Times;serif"/>
                  <w:b w:val="false"/>
                  <w:i w:val="false"/>
                  <w:caps w:val="false"/>
                  <w:smallCaps w:val="false"/>
                  <w:sz w:val="20"/>
                </w:rPr>
                <w:t>Certificate of Amendment to the Third Amended and Restated Certificate of Incorporation of the Registrant (incorporated by reference to Exhibit 3.1 to the Registrant’s Current Report on Form 8-K, filed with the SEC on December 19, 2023).</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8">
              <w:r>
                <w:rPr>
                  <w:rStyle w:val="InternetLink"/>
                  <w:rFonts w:ascii="Times New Roman;Times;serif" w:hAnsi="Times New Roman;Times;serif"/>
                  <w:b w:val="false"/>
                  <w:i w:val="false"/>
                  <w:caps w:val="false"/>
                  <w:smallCaps w:val="false"/>
                  <w:sz w:val="20"/>
                </w:rPr>
                <w:t>Certificate of Amendment (Name Change) to the Third Amended and Restated Certificate of Incorporation of the Registrant (incorporated by reference to Exhibit 3.1 to the Registrant’s Current Report on Form 8-K, filed with the SEC on November 18, 2024).</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(Reverse Stock Split) to the Third Amended and Restated Certificate of Incorporation of the Registrant (incorporated by reference to Exhibit 3.1 to the Registrant’s Current Report on Form 8-K, filed with the SEC on December 2, 2025).</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10">
              <w:r>
                <w:rPr>
                  <w:rStyle w:val="InternetLink"/>
                  <w:rFonts w:ascii="Times New Roman;Times;serif" w:hAnsi="Times New Roman;Times;serif"/>
                  <w:b w:val="false"/>
                  <w:i w:val="false"/>
                  <w:caps w:val="false"/>
                  <w:smallCaps w:val="false"/>
                  <w:sz w:val="20"/>
                </w:rPr>
                <w:t>Fourth Amended and Restated Bylaws of the Registrant (incorporated by reference to Exhibit 3.2 to the Registrant’s Current Report on Form 8-K, filed with the SEC on November 18, 2024).</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11">
              <w:r>
                <w:rPr>
                  <w:rStyle w:val="InternetLink"/>
                  <w:rFonts w:ascii="Times New Roman;Times;serif" w:hAnsi="Times New Roman;Times;serif"/>
                  <w:b w:val="false"/>
                  <w:i w:val="false"/>
                  <w:caps w:val="false"/>
                  <w:smallCaps w:val="false"/>
                  <w:sz w:val="20"/>
                </w:rPr>
                <w:t>Form of Warrant Agency Agreement, by and between the Registrant and Equiniti Trust Company, LLC. (incorporated by reference to Exhibit 4.4 to the Registrant’s Current Report on Form 8-K, filed with the SEC on January 16, 2026).</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12">
              <w:r>
                <w:rPr>
                  <w:rStyle w:val="InternetLink"/>
                  <w:rFonts w:ascii="Times New Roman;Times;serif" w:hAnsi="Times New Roman;Times;serif"/>
                  <w:b w:val="false"/>
                  <w:i w:val="false"/>
                  <w:caps w:val="false"/>
                  <w:smallCaps w:val="false"/>
                  <w:sz w:val="20"/>
                </w:rPr>
                <w:t>Form of Pre-Funded Warrant (incorporated by reference to Exhibit 4.1 to the Registrant’s Current Report on Form 8-K, filed with the SEC on January 16, 2026).</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r:id="rId13">
              <w:r>
                <w:rPr>
                  <w:rStyle w:val="InternetLink"/>
                  <w:rFonts w:ascii="Times New Roman;Times;serif" w:hAnsi="Times New Roman;Times;serif"/>
                  <w:b w:val="false"/>
                  <w:i w:val="false"/>
                  <w:caps w:val="false"/>
                  <w:smallCaps w:val="false"/>
                  <w:sz w:val="20"/>
                </w:rPr>
                <w:t>Form of Series C Common Warrant (incorporated by reference to Exhibit 4.2 to the Registrant’s Current Report on Form 8-K, filed with the SEC on January 16, 2026).</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4.4</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r:id="rId14">
              <w:r>
                <w:rPr>
                  <w:rStyle w:val="InternetLink"/>
                  <w:rFonts w:ascii="Times New Roman;Times;serif" w:hAnsi="Times New Roman;Times;serif"/>
                  <w:b w:val="false"/>
                  <w:i w:val="false"/>
                  <w:caps w:val="false"/>
                  <w:smallCaps w:val="false"/>
                  <w:sz w:val="20"/>
                </w:rPr>
                <w:t>Form of Series D Common Warrant (incorporated by reference to Exhibit 4.3 to the Registrant’s Current Report on Form 8-K, filed with the SEC on January 16, 2026).</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w:anchor="mtva-20260331xex31d1.htm">
              <w:r>
                <w:rPr>
                  <w:rStyle w:val="InternetLink"/>
                  <w:rFonts w:ascii="Times New Roman;Times;serif" w:hAnsi="Times New Roman;Times;serif"/>
                  <w:b w:val="false"/>
                  <w:i w:val="false"/>
                  <w:caps w:val="false"/>
                  <w:smallCaps w:val="false"/>
                  <w:sz w:val="20"/>
                </w:rPr>
                <w:t>Certification of Principal Executive Officer Pursuant to Exchange Act Rule 13a-14(a) or 15d-14(a), as Adopted Pursuant to Section 302 of the Sarbanes-Oxley Act of 2002.</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w:anchor="mtva-20260331xex31d2.htm">
              <w:r>
                <w:rPr>
                  <w:rStyle w:val="InternetLink"/>
                  <w:rFonts w:ascii="Times New Roman;Times;serif" w:hAnsi="Times New Roman;Times;serif"/>
                  <w:b w:val="false"/>
                  <w:i w:val="false"/>
                  <w:caps w:val="false"/>
                  <w:smallCaps w:val="false"/>
                  <w:sz w:val="20"/>
                </w:rPr>
                <w:t>Certification of Principal Financial Officer Pursuant to Exchange Act Rule 13a-14(a) or 15d-14(a), as Adopted Pursuant to Section 302 of the Sarbanes-Oxley Act of 2002.</w:t>
              </w:r>
            </w:hyperlink>
          </w:p>
        </w:tc>
      </w:tr>
      <w:tr>
        <w:trPr/>
        <w:tc>
          <w:tcPr>
            <w:tcW w:w="696" w:type="dxa"/>
            <w:tcBorders/>
            <w:shd w:fill="CCEEFF" w:val="clear"/>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pPr>
            <w:hyperlink w:anchor="mtva-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696" w:type="dxa"/>
            <w:tcBorders/>
            <w:vAlign w:val="center"/>
          </w:tcPr>
          <w:p>
            <w:pPr>
              <w:pStyle w:val="TableContents"/>
              <w:pBdr/>
              <w:bidi w:val="0"/>
              <w:spacing w:lineRule="auto" w:line="300" w:before="0" w:after="4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pPr>
            <w:hyperlink w:anchor="mtva-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2"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96" w:type="dxa"/>
            <w:tcBorders/>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lineRule="auto" w:line="285" w:before="0" w:after="0"/>
              <w:ind w:left="0" w:right="0" w:hanging="0"/>
              <w:jc w:val="left"/>
              <w:rPr/>
            </w:pPr>
            <w:r>
              <w:rPr/>
              <w:t>​</w:t>
            </w:r>
          </w:p>
        </w:tc>
        <w:tc>
          <w:tcPr>
            <w:tcW w:w="9400" w:type="dxa"/>
            <w:tcBorders/>
            <w:vAlign w:val="center"/>
          </w:tcPr>
          <w:p>
            <w:pPr>
              <w:pStyle w:val="TableContents"/>
              <w:bidi w:val="0"/>
              <w:spacing w:lineRule="auto" w:line="300" w:before="0" w:after="4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96" w:type="dxa"/>
            <w:tcBorders/>
            <w:shd w:fill="CCEEFF" w:val="clear"/>
            <w:vAlign w:val="center"/>
          </w:tcPr>
          <w:p>
            <w:pPr>
              <w:pStyle w:val="TableContents"/>
              <w:pBdr/>
              <w:bidi w:val="0"/>
              <w:spacing w:lineRule="auto" w:line="302" w:before="0" w:after="4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400" w:type="dxa"/>
            <w:tcBorders/>
            <w:shd w:fill="CCEEFF" w:val="clear"/>
            <w:vAlign w:val="center"/>
          </w:tcPr>
          <w:p>
            <w:pPr>
              <w:pStyle w:val="TableContents"/>
              <w:bidi w:val="0"/>
              <w:spacing w:lineRule="auto" w:line="300" w:before="0" w:after="4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MetaVia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lineRule="auto" w:line="285" w:before="0" w:after="0"/>
        <w:ind w:left="0" w:right="0" w:hanging="0"/>
        <w:jc w:val="center"/>
        <w:rPr/>
      </w:pPr>
      <w:r>
        <w:rPr/>
        <w:t>​</w:t>
      </w:r>
    </w:p>
    <w:p>
      <w:pPr>
        <w:pStyle w:val="TextBody"/>
        <w:bidi w:val="0"/>
        <w:spacing w:lineRule="auto" w:line="285" w:before="0" w:after="160"/>
        <w:ind w:left="0" w:right="0" w:hanging="0"/>
        <w:jc w:val="center"/>
        <w:rPr>
          <w:rFonts w:ascii="Times New Roman;Times;serif" w:hAnsi="Times New Roman;Times;serif"/>
          <w:b/>
          <w:sz w:val="20"/>
        </w:rPr>
      </w:pPr>
      <w:bookmarkStart w:id="680" w:name="SIGNATURES_188328"/>
      <w:bookmarkStart w:id="681" w:name="_cdbec427_343b_41f9_ba55_b23cd9b704b6"/>
      <w:bookmarkEnd w:id="680"/>
      <w:bookmarkEnd w:id="681"/>
      <w:r>
        <w:rPr>
          <w:rFonts w:ascii="Times New Roman;Times;serif" w:hAnsi="Times New Roman;Times;serif"/>
          <w:b/>
          <w:sz w:val="20"/>
        </w:rPr>
        <w:t>Signatures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on May 14, 2026.</w:t>
      </w:r>
    </w:p>
    <w:p>
      <w:pPr>
        <w:pStyle w:val="TextBody"/>
        <w:bidi w:val="0"/>
        <w:spacing w:lineRule="auto" w:line="285" w:before="0" w:after="0"/>
        <w:ind w:left="0" w:right="0" w:hanging="0"/>
        <w:jc w:val="both"/>
        <w:rPr/>
      </w:pPr>
      <w:r>
        <w:rPr/>
        <w:t>​</w:t>
      </w:r>
    </w:p>
    <w:tbl>
      <w:tblPr>
        <w:tblW w:w="3467" w:type="dxa"/>
        <w:jc w:val="left"/>
        <w:tblInd w:w="0" w:type="dxa"/>
        <w:tblLayout w:type="fixed"/>
        <w:tblCellMar>
          <w:top w:w="0" w:type="dxa"/>
          <w:left w:w="0" w:type="dxa"/>
          <w:bottom w:w="0" w:type="dxa"/>
          <w:right w:w="0" w:type="dxa"/>
        </w:tblCellMar>
      </w:tblPr>
      <w:tblGrid>
        <w:gridCol w:w="124"/>
        <w:gridCol w:w="109"/>
        <w:gridCol w:w="23"/>
        <w:gridCol w:w="321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234"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METAVIA INC.</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Hyung Heon Kim</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Hyung Heon Kim</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lineRule="auto" w:line="285" w:before="0" w:after="0"/>
              <w:ind w:left="0" w:right="0" w:hanging="0"/>
              <w:jc w:val="left"/>
              <w:rPr/>
            </w:pPr>
            <w:r>
              <w:rPr/>
              <w:t>​</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Marshall H. Woodworth</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Marshall H. Woodworth</w:t>
            </w:r>
          </w:p>
        </w:tc>
      </w:tr>
      <w:tr>
        <w:trPr/>
        <w:tc>
          <w:tcPr>
            <w:tcW w:w="256" w:type="dxa"/>
            <w:gridSpan w:val="3"/>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pBdr/>
              <w:bidi w:val="0"/>
              <w:spacing w:before="0" w:after="0"/>
              <w:ind w:left="0" w:right="0" w:hanging="177"/>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240"/>
        <w:ind w:left="0" w:right="0" w:hanging="0"/>
        <w:jc w:val="right"/>
        <w:rPr>
          <w:rFonts w:ascii="Times New Roman;Times;serif" w:hAnsi="Times New Roman;Times;serif"/>
          <w:sz w:val="20"/>
        </w:rPr>
      </w:pPr>
      <w:bookmarkStart w:id="682" w:name="mtva-20260331xex31d1.htm"/>
      <w:bookmarkStart w:id="683" w:name="ksmtva20260331xex31d1"/>
      <w:bookmarkEnd w:id="682"/>
      <w:bookmarkEnd w:id="683"/>
      <w:r>
        <w:rPr>
          <w:rFonts w:ascii="Times New Roman;Times;serif" w:hAnsi="Times New Roman;Times;serif"/>
          <w:sz w:val="20"/>
        </w:rPr>
        <w:t xml:space="preserve">Exhibit 31.1 </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or Rule 15d-14(a)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Hyung Heon Kim, certify that:</w:t>
      </w:r>
    </w:p>
    <w:p>
      <w:pPr>
        <w:pStyle w:val="TextBody"/>
        <w:bidi w:val="0"/>
        <w:spacing w:lineRule="auto" w:line="285" w:before="8" w:after="0"/>
        <w:ind w:left="0" w:right="0" w:hanging="0"/>
        <w:jc w:val="both"/>
        <w:rPr/>
      </w:pPr>
      <w:r>
        <w:rPr/>
        <w:t>​</w:t>
      </w:r>
    </w:p>
    <w:tbl>
      <w:tblPr>
        <w:tblW w:w="9520" w:type="dxa"/>
        <w:jc w:val="left"/>
        <w:tblInd w:w="0" w:type="dxa"/>
        <w:tblLayout w:type="fixed"/>
        <w:tblCellMar>
          <w:top w:w="0" w:type="dxa"/>
          <w:left w:w="0" w:type="dxa"/>
          <w:bottom w:w="0" w:type="dxa"/>
          <w:right w:w="0" w:type="dxa"/>
        </w:tblCellMar>
      </w:tblPr>
      <w:tblGrid>
        <w:gridCol w:w="245"/>
        <w:gridCol w:w="927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March 31, 2026 of MetaVia Inc.;</w:t>
            </w:r>
          </w:p>
        </w:tc>
      </w:tr>
    </w:tbl>
    <w:p>
      <w:pPr>
        <w:pStyle w:val="TextBody"/>
        <w:bidi w:val="0"/>
        <w:spacing w:lineRule="auto" w:line="285" w:before="8"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this report does not contain any untrue statement of a material fact or omit</w:t>
            </w:r>
            <w:r>
              <w:rPr>
                <w:caps w:val="false"/>
                <w:smallCaps w:val="false"/>
                <w:spacing w:val="-28"/>
              </w:rPr>
              <w:t xml:space="preserve"> </w:t>
            </w:r>
            <w:r>
              <w:rPr>
                <w:rFonts w:ascii="Times New Roman;Times;serif" w:hAnsi="Times New Roman;Times;serif"/>
                <w:b w:val="false"/>
                <w:i w:val="false"/>
                <w:caps w:val="false"/>
                <w:smallCaps w:val="false"/>
                <w:sz w:val="20"/>
              </w:rPr>
              <w:t>to state a material fact necessary to make the statements made, in light of the circumstances under which such statements were made, not misleading with respect to the period covered by this</w:t>
            </w:r>
            <w:r>
              <w:rPr>
                <w:caps w:val="false"/>
                <w:smallCaps w:val="false"/>
                <w:spacing w:val="-28"/>
              </w:rPr>
              <w:t xml:space="preserve"> </w:t>
            </w:r>
            <w:r>
              <w:rPr>
                <w:rFonts w:ascii="Times New Roman;Times;serif" w:hAnsi="Times New Roman;Times;serif"/>
                <w:b w:val="false"/>
                <w:i w:val="false"/>
                <w:caps w:val="false"/>
                <w:smallCaps w:val="false"/>
                <w:sz w:val="20"/>
              </w:rPr>
              <w:t>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w:t>
            </w:r>
            <w:r>
              <w:rPr>
                <w:caps w:val="false"/>
                <w:smallCaps w:val="false"/>
                <w:spacing w:val="-6"/>
              </w:rPr>
              <w:t xml:space="preserve"> </w:t>
            </w:r>
            <w:r>
              <w:rPr>
                <w:rFonts w:ascii="Times New Roman;Times;serif" w:hAnsi="Times New Roman;Times;serif"/>
                <w:b w:val="false"/>
                <w:i w:val="false"/>
                <w:caps w:val="false"/>
                <w:smallCaps w:val="false"/>
                <w:sz w:val="20"/>
              </w:rPr>
              <w:t>present</w:t>
            </w:r>
            <w:r>
              <w:rPr>
                <w:caps w:val="false"/>
                <w:smallCaps w:val="false"/>
                <w:spacing w:val="-3"/>
              </w:rPr>
              <w:t xml:space="preserve"> </w:t>
            </w:r>
            <w:r>
              <w:rPr>
                <w:rFonts w:ascii="Times New Roman;Times;serif" w:hAnsi="Times New Roman;Times;serif"/>
                <w:b w:val="false"/>
                <w:i w:val="false"/>
                <w:caps w:val="false"/>
                <w:smallCaps w:val="false"/>
                <w:sz w:val="20"/>
              </w:rPr>
              <w:t>in</w:t>
            </w:r>
            <w:r>
              <w:rPr>
                <w:caps w:val="false"/>
                <w:smallCaps w:val="false"/>
                <w:spacing w:val="-3"/>
              </w:rPr>
              <w:t xml:space="preserve"> </w:t>
            </w:r>
            <w:r>
              <w:rPr>
                <w:rFonts w:ascii="Times New Roman;Times;serif" w:hAnsi="Times New Roman;Times;serif"/>
                <w:b w:val="false"/>
                <w:i w:val="false"/>
                <w:caps w:val="false"/>
                <w:smallCaps w:val="false"/>
                <w:sz w:val="20"/>
              </w:rPr>
              <w:t>all</w:t>
            </w:r>
            <w:r>
              <w:rPr>
                <w:caps w:val="false"/>
                <w:smallCaps w:val="false"/>
                <w:spacing w:val="-1"/>
              </w:rPr>
              <w:t xml:space="preserve"> </w:t>
            </w:r>
            <w:r>
              <w:rPr>
                <w:rFonts w:ascii="Times New Roman;Times;serif" w:hAnsi="Times New Roman;Times;serif"/>
                <w:b w:val="false"/>
                <w:i w:val="false"/>
                <w:caps w:val="false"/>
                <w:smallCaps w:val="false"/>
                <w:sz w:val="20"/>
              </w:rPr>
              <w:t>material</w:t>
            </w:r>
            <w:r>
              <w:rPr>
                <w:caps w:val="false"/>
                <w:smallCaps w:val="false"/>
                <w:spacing w:val="-2"/>
              </w:rPr>
              <w:t xml:space="preserve"> </w:t>
            </w:r>
            <w:r>
              <w:rPr>
                <w:rFonts w:ascii="Times New Roman;Times;serif" w:hAnsi="Times New Roman;Times;serif"/>
                <w:b w:val="false"/>
                <w:i w:val="false"/>
                <w:caps w:val="false"/>
                <w:smallCaps w:val="false"/>
                <w:sz w:val="20"/>
              </w:rPr>
              <w:t>respects</w:t>
            </w:r>
            <w:r>
              <w:rPr>
                <w:caps w:val="false"/>
                <w:smallCaps w:val="false"/>
                <w:spacing w:val="-3"/>
              </w:rPr>
              <w:t xml:space="preserve"> </w:t>
            </w:r>
            <w:r>
              <w:rPr>
                <w:rFonts w:ascii="Times New Roman;Times;serif" w:hAnsi="Times New Roman;Times;serif"/>
                <w:b w:val="false"/>
                <w:i w:val="false"/>
                <w:caps w:val="false"/>
                <w:smallCaps w:val="false"/>
                <w:sz w:val="20"/>
              </w:rPr>
              <w:t>the financial</w:t>
            </w:r>
            <w:r>
              <w:rPr>
                <w:caps w:val="false"/>
                <w:smallCaps w:val="false"/>
                <w:spacing w:val="-2"/>
              </w:rPr>
              <w:t xml:space="preserve"> </w:t>
            </w:r>
            <w:r>
              <w:rPr>
                <w:rFonts w:ascii="Times New Roman;Times;serif" w:hAnsi="Times New Roman;Times;serif"/>
                <w:b w:val="false"/>
                <w:i w:val="false"/>
                <w:caps w:val="false"/>
                <w:smallCaps w:val="false"/>
                <w:sz w:val="20"/>
              </w:rPr>
              <w:t>condition, results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operations</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cash</w:t>
            </w:r>
            <w:r>
              <w:rPr>
                <w:caps w:val="false"/>
                <w:smallCaps w:val="false"/>
                <w:spacing w:val="-2"/>
              </w:rPr>
              <w:t xml:space="preserve"> </w:t>
            </w:r>
            <w:r>
              <w:rPr>
                <w:rFonts w:ascii="Times New Roman;Times;serif" w:hAnsi="Times New Roman;Times;serif"/>
                <w:b w:val="false"/>
                <w:i w:val="false"/>
                <w:caps w:val="false"/>
                <w:smallCaps w:val="false"/>
                <w:sz w:val="20"/>
              </w:rPr>
              <w:t>flows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2"/>
              </w:rPr>
              <w:t xml:space="preserve"> </w:t>
            </w:r>
            <w:r>
              <w:rPr>
                <w:rFonts w:ascii="Times New Roman;Times;serif" w:hAnsi="Times New Roman;Times;serif"/>
                <w:b w:val="false"/>
                <w:i w:val="false"/>
                <w:caps w:val="false"/>
                <w:smallCaps w:val="false"/>
                <w:sz w:val="20"/>
              </w:rPr>
              <w:t>registrant</w:t>
            </w:r>
            <w:r>
              <w:rPr>
                <w:caps w:val="false"/>
                <w:smallCaps w:val="false"/>
                <w:spacing w:val="-3"/>
              </w:rPr>
              <w:t xml:space="preserve"> </w:t>
            </w:r>
            <w:r>
              <w:rPr>
                <w:rFonts w:ascii="Times New Roman;Times;serif" w:hAnsi="Times New Roman;Times;serif"/>
                <w:b w:val="false"/>
                <w:i w:val="false"/>
                <w:caps w:val="false"/>
                <w:smallCaps w:val="false"/>
                <w:sz w:val="20"/>
              </w:rPr>
              <w:t>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w:t>
            </w:r>
            <w:r>
              <w:rPr>
                <w:caps w:val="false"/>
                <w:smallCaps w:val="false"/>
                <w:spacing w:val="-3"/>
              </w:rPr>
              <w:t xml:space="preserve"> </w:t>
            </w:r>
            <w:r>
              <w:rPr>
                <w:rFonts w:ascii="Times New Roman;Times;serif" w:hAnsi="Times New Roman;Times;serif"/>
                <w:b w:val="false"/>
                <w:i w:val="false"/>
                <w:caps w:val="false"/>
                <w:smallCaps w:val="false"/>
                <w:sz w:val="20"/>
              </w:rPr>
              <w:t>are</w:t>
            </w:r>
            <w:r>
              <w:rPr>
                <w:caps w:val="false"/>
                <w:smallCaps w:val="false"/>
                <w:spacing w:val="-3"/>
              </w:rPr>
              <w:t xml:space="preserve"> </w:t>
            </w:r>
            <w:r>
              <w:rPr>
                <w:rFonts w:ascii="Times New Roman;Times;serif" w:hAnsi="Times New Roman;Times;serif"/>
                <w:b w:val="false"/>
                <w:i w:val="false"/>
                <w:caps w:val="false"/>
                <w:smallCaps w:val="false"/>
                <w:sz w:val="20"/>
              </w:rPr>
              <w:t>responsible</w:t>
            </w:r>
            <w:r>
              <w:rPr>
                <w:caps w:val="false"/>
                <w:smallCaps w:val="false"/>
                <w:spacing w:val="-3"/>
              </w:rPr>
              <w:t xml:space="preserve"> </w:t>
            </w:r>
            <w:r>
              <w:rPr>
                <w:rFonts w:ascii="Times New Roman;Times;serif" w:hAnsi="Times New Roman;Times;serif"/>
                <w:b w:val="false"/>
                <w:i w:val="false"/>
                <w:caps w:val="false"/>
                <w:smallCaps w:val="false"/>
                <w:sz w:val="20"/>
              </w:rPr>
              <w:t>for</w:t>
            </w:r>
            <w:r>
              <w:rPr>
                <w:caps w:val="false"/>
                <w:smallCaps w:val="false"/>
                <w:spacing w:val="-3"/>
              </w:rPr>
              <w:t xml:space="preserve"> </w:t>
            </w:r>
            <w:r>
              <w:rPr>
                <w:rFonts w:ascii="Times New Roman;Times;serif" w:hAnsi="Times New Roman;Times;serif"/>
                <w:b w:val="false"/>
                <w:i w:val="false"/>
                <w:caps w:val="false"/>
                <w:smallCaps w:val="false"/>
                <w:sz w:val="20"/>
              </w:rPr>
              <w:t>establishing</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1"/>
              </w:rPr>
              <w:t xml:space="preserve"> </w:t>
            </w:r>
            <w:r>
              <w:rPr>
                <w:rFonts w:ascii="Times New Roman;Times;serif" w:hAnsi="Times New Roman;Times;serif"/>
                <w:b w:val="false"/>
                <w:i w:val="false"/>
                <w:caps w:val="false"/>
                <w:smallCaps w:val="false"/>
                <w:sz w:val="20"/>
              </w:rPr>
              <w:t>maintaining</w:t>
            </w:r>
            <w:r>
              <w:rPr>
                <w:caps w:val="false"/>
                <w:smallCaps w:val="false"/>
                <w:spacing w:val="-4"/>
              </w:rPr>
              <w:t xml:space="preserve"> </w:t>
            </w:r>
            <w:r>
              <w:rPr>
                <w:rFonts w:ascii="Times New Roman;Times;serif" w:hAnsi="Times New Roman;Times;serif"/>
                <w:b w:val="false"/>
                <w:i w:val="false"/>
                <w:caps w:val="false"/>
                <w:smallCaps w:val="false"/>
                <w:sz w:val="20"/>
              </w:rPr>
              <w:t>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r>
              <w:rPr>
                <w:caps w:val="false"/>
                <w:smallCaps w:val="false"/>
                <w:spacing w:val="-15"/>
              </w:rPr>
              <w:t xml:space="preserve"> </w:t>
            </w:r>
            <w:r>
              <w:rPr>
                <w:rFonts w:ascii="Times New Roman;Times;serif" w:hAnsi="Times New Roman;Times;serif"/>
                <w:b w:val="false"/>
                <w:i w:val="false"/>
                <w:caps w:val="false"/>
                <w:smallCaps w:val="false"/>
                <w:sz w:val="20"/>
              </w:rPr>
              <w:t>prepared;</w:t>
            </w:r>
          </w:p>
        </w:tc>
      </w:tr>
    </w:tbl>
    <w:p>
      <w:pPr>
        <w:pStyle w:val="TextBody"/>
        <w:bidi w:val="0"/>
        <w:spacing w:lineRule="auto" w:line="285" w:before="11"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internal control over financial reporting, or caused such internal control over financial</w:t>
            </w:r>
            <w:r>
              <w:rPr>
                <w:caps w:val="false"/>
                <w:smallCaps w:val="false"/>
                <w:spacing w:val="-4"/>
              </w:rPr>
              <w:t xml:space="preserve"> </w:t>
            </w:r>
            <w:r>
              <w:rPr>
                <w:rFonts w:ascii="Times New Roman;Times;serif" w:hAnsi="Times New Roman;Times;serif"/>
                <w:b w:val="false"/>
                <w:i w:val="false"/>
                <w:caps w:val="false"/>
                <w:smallCaps w:val="false"/>
                <w:sz w:val="20"/>
              </w:rPr>
              <w:t>reporting</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be</w:t>
            </w:r>
            <w:r>
              <w:rPr>
                <w:caps w:val="false"/>
                <w:smallCaps w:val="false"/>
                <w:spacing w:val="-3"/>
              </w:rPr>
              <w:t xml:space="preserve"> </w:t>
            </w:r>
            <w:r>
              <w:rPr>
                <w:rFonts w:ascii="Times New Roman;Times;serif" w:hAnsi="Times New Roman;Times;serif"/>
                <w:b w:val="false"/>
                <w:i w:val="false"/>
                <w:caps w:val="false"/>
                <w:smallCaps w:val="false"/>
                <w:sz w:val="20"/>
              </w:rPr>
              <w:t>designed</w:t>
            </w:r>
            <w:r>
              <w:rPr>
                <w:caps w:val="false"/>
                <w:smallCaps w:val="false"/>
                <w:spacing w:val="-2"/>
              </w:rPr>
              <w:t xml:space="preserve"> </w:t>
            </w:r>
            <w:r>
              <w:rPr>
                <w:rFonts w:ascii="Times New Roman;Times;serif" w:hAnsi="Times New Roman;Times;serif"/>
                <w:b w:val="false"/>
                <w:i w:val="false"/>
                <w:caps w:val="false"/>
                <w:smallCaps w:val="false"/>
                <w:sz w:val="20"/>
              </w:rPr>
              <w:t>under</w:t>
            </w:r>
            <w:r>
              <w:rPr>
                <w:caps w:val="false"/>
                <w:smallCaps w:val="false"/>
                <w:spacing w:val="-2"/>
              </w:rPr>
              <w:t xml:space="preserve"> </w:t>
            </w:r>
            <w:r>
              <w:rPr>
                <w:rFonts w:ascii="Times New Roman;Times;serif" w:hAnsi="Times New Roman;Times;serif"/>
                <w:b w:val="false"/>
                <w:i w:val="false"/>
                <w:caps w:val="false"/>
                <w:smallCaps w:val="false"/>
                <w:sz w:val="20"/>
              </w:rPr>
              <w:t>our</w:t>
            </w:r>
            <w:r>
              <w:rPr>
                <w:caps w:val="false"/>
                <w:smallCaps w:val="false"/>
                <w:spacing w:val="-3"/>
              </w:rPr>
              <w:t xml:space="preserve"> </w:t>
            </w:r>
            <w:r>
              <w:rPr>
                <w:rFonts w:ascii="Times New Roman;Times;serif" w:hAnsi="Times New Roman;Times;serif"/>
                <w:b w:val="false"/>
                <w:i w:val="false"/>
                <w:caps w:val="false"/>
                <w:smallCaps w:val="false"/>
                <w:sz w:val="20"/>
              </w:rPr>
              <w:t>supervision,</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provide</w:t>
            </w:r>
            <w:r>
              <w:rPr>
                <w:caps w:val="false"/>
                <w:smallCaps w:val="false"/>
                <w:spacing w:val="-3"/>
              </w:rPr>
              <w:t xml:space="preserve"> </w:t>
            </w:r>
            <w:r>
              <w:rPr>
                <w:rFonts w:ascii="Times New Roman;Times;serif" w:hAnsi="Times New Roman;Times;serif"/>
                <w:b w:val="false"/>
                <w:i w:val="false"/>
                <w:caps w:val="false"/>
                <w:smallCaps w:val="false"/>
                <w:sz w:val="20"/>
              </w:rPr>
              <w:t>reasonable</w:t>
            </w:r>
            <w:r>
              <w:rPr>
                <w:caps w:val="false"/>
                <w:smallCaps w:val="false"/>
                <w:spacing w:val="-3"/>
              </w:rPr>
              <w:t xml:space="preserve"> </w:t>
            </w:r>
            <w:r>
              <w:rPr>
                <w:rFonts w:ascii="Times New Roman;Times;serif" w:hAnsi="Times New Roman;Times;serif"/>
                <w:b w:val="false"/>
                <w:i w:val="false"/>
                <w:caps w:val="false"/>
                <w:smallCaps w:val="false"/>
                <w:sz w:val="20"/>
              </w:rPr>
              <w:t>assurance regarding</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reliability</w:t>
            </w:r>
            <w:r>
              <w:rPr>
                <w:caps w:val="false"/>
                <w:smallCaps w:val="false"/>
                <w:spacing w:val="-4"/>
              </w:rPr>
              <w:t xml:space="preserve"> </w:t>
            </w:r>
            <w:r>
              <w:rPr>
                <w:rFonts w:ascii="Times New Roman;Times;serif" w:hAnsi="Times New Roman;Times;serif"/>
                <w:b w:val="false"/>
                <w:i w:val="false"/>
                <w:caps w:val="false"/>
                <w:smallCaps w:val="false"/>
                <w:sz w:val="20"/>
              </w:rPr>
              <w:t>of financial reporting and the preparation of financial statements for external purposes in accordance with generally accepted accounting</w:t>
            </w:r>
            <w:r>
              <w:rPr>
                <w:caps w:val="false"/>
                <w:smallCaps w:val="false"/>
                <w:spacing w:val="-11"/>
              </w:rPr>
              <w:t xml:space="preserve"> </w:t>
            </w:r>
            <w:r>
              <w:rPr>
                <w:rFonts w:ascii="Times New Roman;Times;serif" w:hAnsi="Times New Roman;Times;serif"/>
                <w:b w:val="false"/>
                <w:i w:val="false"/>
                <w:caps w:val="false"/>
                <w:smallCaps w:val="false"/>
                <w:sz w:val="20"/>
              </w:rPr>
              <w:t>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r>
              <w:rPr>
                <w:caps w:val="false"/>
                <w:smallCaps w:val="false"/>
                <w:spacing w:val="-21"/>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w:t>
            </w:r>
            <w:r>
              <w:rPr>
                <w:caps w:val="false"/>
                <w:smallCaps w:val="false"/>
                <w:spacing w:val="-3"/>
              </w:rPr>
              <w:t xml:space="preserve"> </w:t>
            </w:r>
            <w:r>
              <w:rPr>
                <w:rFonts w:ascii="Times New Roman;Times;serif" w:hAnsi="Times New Roman;Times;serif"/>
                <w:b w:val="false"/>
                <w:i w:val="false"/>
                <w:caps w:val="false"/>
                <w:smallCaps w:val="false"/>
                <w:sz w:val="20"/>
              </w:rPr>
              <w:t>report)</w:t>
            </w:r>
            <w:r>
              <w:rPr>
                <w:caps w:val="false"/>
                <w:smallCaps w:val="false"/>
                <w:spacing w:val="-3"/>
              </w:rPr>
              <w:t xml:space="preserve"> </w:t>
            </w:r>
            <w:r>
              <w:rPr>
                <w:rFonts w:ascii="Times New Roman;Times;serif" w:hAnsi="Times New Roman;Times;serif"/>
                <w:b w:val="false"/>
                <w:i w:val="false"/>
                <w:caps w:val="false"/>
                <w:smallCaps w:val="false"/>
                <w:sz w:val="20"/>
              </w:rPr>
              <w:t>that</w:t>
            </w:r>
            <w:r>
              <w:rPr>
                <w:caps w:val="false"/>
                <w:smallCaps w:val="false"/>
                <w:spacing w:val="-3"/>
              </w:rPr>
              <w:t xml:space="preserve"> </w:t>
            </w:r>
            <w:r>
              <w:rPr>
                <w:rFonts w:ascii="Times New Roman;Times;serif" w:hAnsi="Times New Roman;Times;serif"/>
                <w:b w:val="false"/>
                <w:i w:val="false"/>
                <w:caps w:val="false"/>
                <w:smallCaps w:val="false"/>
                <w:sz w:val="20"/>
              </w:rPr>
              <w:t>has</w:t>
            </w:r>
            <w:r>
              <w:rPr>
                <w:caps w:val="false"/>
                <w:smallCaps w:val="false"/>
                <w:spacing w:val="-1"/>
              </w:rPr>
              <w:t xml:space="preserve"> </w:t>
            </w:r>
            <w:r>
              <w:rPr>
                <w:rFonts w:ascii="Times New Roman;Times;serif" w:hAnsi="Times New Roman;Times;serif"/>
                <w:b w:val="false"/>
                <w:i w:val="false"/>
                <w:caps w:val="false"/>
                <w:smallCaps w:val="false"/>
                <w:sz w:val="20"/>
              </w:rPr>
              <w:t>materially</w:t>
            </w:r>
            <w:r>
              <w:rPr>
                <w:caps w:val="false"/>
                <w:smallCaps w:val="false"/>
                <w:spacing w:val="-3"/>
              </w:rPr>
              <w:t xml:space="preserve"> </w:t>
            </w:r>
            <w:r>
              <w:rPr>
                <w:rFonts w:ascii="Times New Roman;Times;serif" w:hAnsi="Times New Roman;Times;serif"/>
                <w:b w:val="false"/>
                <w:i w:val="false"/>
                <w:caps w:val="false"/>
                <w:smallCaps w:val="false"/>
                <w:sz w:val="20"/>
              </w:rPr>
              <w:t>affected,</w:t>
            </w:r>
            <w:r>
              <w:rPr>
                <w:caps w:val="false"/>
                <w:smallCaps w:val="false"/>
                <w:spacing w:val="-2"/>
              </w:rPr>
              <w:t xml:space="preserve"> </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z w:val="20"/>
              </w:rPr>
              <w:t>is</w:t>
            </w:r>
            <w:r>
              <w:rPr>
                <w:caps w:val="false"/>
                <w:smallCaps w:val="false"/>
                <w:spacing w:val="-4"/>
              </w:rPr>
              <w:t xml:space="preserve"> </w:t>
            </w:r>
            <w:r>
              <w:rPr>
                <w:rFonts w:ascii="Times New Roman;Times;serif" w:hAnsi="Times New Roman;Times;serif"/>
                <w:b w:val="false"/>
                <w:i w:val="false"/>
                <w:caps w:val="false"/>
                <w:smallCaps w:val="false"/>
                <w:sz w:val="20"/>
              </w:rPr>
              <w:t>reasonably</w:t>
            </w:r>
            <w:r>
              <w:rPr>
                <w:caps w:val="false"/>
                <w:smallCaps w:val="false"/>
                <w:spacing w:val="-4"/>
              </w:rPr>
              <w:t xml:space="preserve"> </w:t>
            </w:r>
            <w:r>
              <w:rPr>
                <w:rFonts w:ascii="Times New Roman;Times;serif" w:hAnsi="Times New Roman;Times;serif"/>
                <w:b w:val="false"/>
                <w:i w:val="false"/>
                <w:caps w:val="false"/>
                <w:smallCaps w:val="false"/>
                <w:sz w:val="20"/>
              </w:rPr>
              <w:t>likely</w:t>
            </w:r>
            <w:r>
              <w:rPr>
                <w:caps w:val="false"/>
                <w:smallCaps w:val="false"/>
                <w:spacing w:val="-6"/>
              </w:rPr>
              <w:t xml:space="preserve"> </w:t>
            </w:r>
            <w:r>
              <w:rPr>
                <w:rFonts w:ascii="Times New Roman;Times;serif" w:hAnsi="Times New Roman;Times;serif"/>
                <w:b w:val="false"/>
                <w:i w:val="false"/>
                <w:caps w:val="false"/>
                <w:smallCaps w:val="false"/>
                <w:sz w:val="20"/>
              </w:rPr>
              <w:t>to materially</w:t>
            </w:r>
            <w:r>
              <w:rPr>
                <w:caps w:val="false"/>
                <w:smallCaps w:val="false"/>
                <w:spacing w:val="-4"/>
              </w:rPr>
              <w:t xml:space="preserve"> </w:t>
            </w:r>
            <w:r>
              <w:rPr>
                <w:rFonts w:ascii="Times New Roman;Times;serif" w:hAnsi="Times New Roman;Times;serif"/>
                <w:b w:val="false"/>
                <w:i w:val="false"/>
                <w:caps w:val="false"/>
                <w:smallCaps w:val="false"/>
                <w:sz w:val="20"/>
              </w:rPr>
              <w:t>affect,</w:t>
            </w:r>
            <w:r>
              <w:rPr>
                <w:caps w:val="false"/>
                <w:smallCaps w:val="false"/>
                <w:spacing w:val="-3"/>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internal</w:t>
            </w:r>
            <w:r>
              <w:rPr>
                <w:caps w:val="false"/>
                <w:smallCaps w:val="false"/>
                <w:spacing w:val="-4"/>
              </w:rPr>
              <w:t xml:space="preserve"> </w:t>
            </w:r>
            <w:r>
              <w:rPr>
                <w:rFonts w:ascii="Times New Roman;Times;serif" w:hAnsi="Times New Roman;Times;serif"/>
                <w:b w:val="false"/>
                <w:i w:val="false"/>
                <w:caps w:val="false"/>
                <w:smallCaps w:val="false"/>
                <w:sz w:val="20"/>
              </w:rPr>
              <w:t>control over financial reporting;</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pBdr/>
        <w:bidi w:val="0"/>
        <w:spacing w:lineRule="auto" w:line="285" w:before="1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w:t>
            </w:r>
            <w:r>
              <w:rPr>
                <w:caps w:val="false"/>
                <w:smallCaps w:val="false"/>
                <w:spacing w:val="-4"/>
              </w:rPr>
              <w:t xml:space="preserve"> </w:t>
            </w:r>
            <w:r>
              <w:rPr>
                <w:rFonts w:ascii="Times New Roman;Times;serif" w:hAnsi="Times New Roman;Times;serif"/>
                <w:b w:val="false"/>
                <w:i w:val="false"/>
                <w:caps w:val="false"/>
                <w:smallCaps w:val="false"/>
                <w:sz w:val="20"/>
              </w:rPr>
              <w:t>control</w:t>
            </w:r>
            <w:r>
              <w:rPr>
                <w:caps w:val="false"/>
                <w:smallCaps w:val="false"/>
                <w:spacing w:val="-4"/>
              </w:rPr>
              <w:t xml:space="preserve"> </w:t>
            </w:r>
            <w:r>
              <w:rPr>
                <w:rFonts w:ascii="Times New Roman;Times;serif" w:hAnsi="Times New Roman;Times;serif"/>
                <w:b w:val="false"/>
                <w:i w:val="false"/>
                <w:caps w:val="false"/>
                <w:smallCaps w:val="false"/>
                <w:sz w:val="20"/>
              </w:rPr>
              <w:t>over</w:t>
            </w:r>
            <w:r>
              <w:rPr>
                <w:caps w:val="false"/>
                <w:smallCaps w:val="false"/>
                <w:spacing w:val="-2"/>
              </w:rPr>
              <w:t xml:space="preserve"> </w:t>
            </w:r>
            <w:r>
              <w:rPr>
                <w:rFonts w:ascii="Times New Roman;Times;serif" w:hAnsi="Times New Roman;Times;serif"/>
                <w:b w:val="false"/>
                <w:i w:val="false"/>
                <w:caps w:val="false"/>
                <w:smallCaps w:val="false"/>
                <w:sz w:val="20"/>
              </w:rPr>
              <w:t>financial</w:t>
            </w:r>
            <w:r>
              <w:rPr>
                <w:caps w:val="false"/>
                <w:smallCaps w:val="false"/>
                <w:spacing w:val="-1"/>
              </w:rPr>
              <w:t xml:space="preserve"> </w:t>
            </w:r>
            <w:r>
              <w:rPr>
                <w:rFonts w:ascii="Times New Roman;Times;serif" w:hAnsi="Times New Roman;Times;serif"/>
                <w:b w:val="false"/>
                <w:i w:val="false"/>
                <w:caps w:val="false"/>
                <w:smallCaps w:val="false"/>
                <w:sz w:val="20"/>
              </w:rPr>
              <w:t>reporting,</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auditors</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audit</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board of directors (or persons performing the equivalent</w:t>
            </w:r>
            <w:r>
              <w:rPr>
                <w:caps w:val="false"/>
                <w:smallCaps w:val="false"/>
                <w:spacing w:val="-22"/>
              </w:rPr>
              <w:t xml:space="preserve"> </w:t>
            </w:r>
            <w:r>
              <w:rPr>
                <w:rFonts w:ascii="Times New Roman;Times;serif" w:hAnsi="Times New Roman;Times;serif"/>
                <w:b w:val="false"/>
                <w:i w:val="false"/>
                <w:caps w:val="false"/>
                <w:smallCaps w:val="false"/>
                <w:sz w:val="20"/>
              </w:rPr>
              <w:t>functions):</w:t>
            </w:r>
          </w:p>
        </w:tc>
      </w:tr>
    </w:tbl>
    <w:p>
      <w:pPr>
        <w:pStyle w:val="TextBody"/>
        <w:pBdr/>
        <w:bidi w:val="0"/>
        <w:spacing w:lineRule="auto" w:line="285" w:before="11"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w:t>
            </w:r>
            <w:r>
              <w:rPr>
                <w:caps w:val="false"/>
                <w:smallCaps w:val="false"/>
                <w:spacing w:val="-34"/>
              </w:rPr>
              <w:t xml:space="preserve"> </w:t>
            </w:r>
            <w:r>
              <w:rPr>
                <w:rFonts w:ascii="Times New Roman;Times;serif" w:hAnsi="Times New Roman;Times;serif"/>
                <w:b w:val="false"/>
                <w:i w:val="false"/>
                <w:caps w:val="false"/>
                <w:smallCaps w:val="false"/>
                <w:sz w:val="20"/>
              </w:rPr>
              <w:t>over financial reporting which are reasonably likely to adversely affect the registrant’s ability to record, process, summarize and report financial information;</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9"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fraud, whether or not material, that involves management or other employees who have</w:t>
            </w:r>
            <w:r>
              <w:rPr>
                <w:caps w:val="false"/>
                <w:smallCaps w:val="false"/>
                <w:spacing w:val="-30"/>
              </w:rPr>
              <w:t xml:space="preserve"> </w:t>
            </w:r>
            <w:r>
              <w:rPr>
                <w:rFonts w:ascii="Times New Roman;Times;serif" w:hAnsi="Times New Roman;Times;serif"/>
                <w:b w:val="false"/>
                <w:i w:val="false"/>
                <w:caps w:val="false"/>
                <w:smallCaps w:val="false"/>
                <w:sz w:val="20"/>
              </w:rPr>
              <w:t>a significant role in the registrant’s internal control over financial</w:t>
            </w:r>
            <w:r>
              <w:rPr>
                <w:caps w:val="false"/>
                <w:smallCaps w:val="false"/>
                <w:spacing w:val="-29"/>
              </w:rPr>
              <w:t xml:space="preserve"> </w:t>
            </w:r>
            <w:r>
              <w:rPr>
                <w:rFonts w:ascii="Times New Roman;Times;serif" w:hAnsi="Times New Roman;Times;serif"/>
                <w:b w:val="false"/>
                <w:i w:val="false"/>
                <w:caps w:val="false"/>
                <w:smallCaps w:val="false"/>
                <w:sz w:val="20"/>
              </w:rPr>
              <w:t>reporting.</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4952" w:type="dxa"/>
        <w:jc w:val="left"/>
        <w:tblInd w:w="0" w:type="dxa"/>
        <w:tblLayout w:type="fixed"/>
        <w:tblCellMar>
          <w:top w:w="0" w:type="dxa"/>
          <w:left w:w="0" w:type="dxa"/>
          <w:bottom w:w="0" w:type="dxa"/>
          <w:right w:w="0" w:type="dxa"/>
        </w:tblCellMar>
      </w:tblPr>
      <w:tblGrid>
        <w:gridCol w:w="1741"/>
        <w:gridCol w:w="3211"/>
      </w:tblGrid>
      <w:tr>
        <w:trPr/>
        <w:tc>
          <w:tcPr>
            <w:tcW w:w="174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14, 2026</w:t>
            </w:r>
          </w:p>
        </w:tc>
        <w:tc>
          <w:tcPr>
            <w:tcW w:w="3211"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Hyung Heon Kim</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3211"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321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sz w:val="20"/>
        </w:rPr>
      </w:pPr>
      <w:bookmarkStart w:id="684" w:name="mtva-20260331xex31d2.htm"/>
      <w:bookmarkStart w:id="685" w:name="ksmtva20260331xex31d2"/>
      <w:bookmarkEnd w:id="684"/>
      <w:bookmarkEnd w:id="685"/>
      <w:r>
        <w:rPr>
          <w:rFonts w:ascii="Times New Roman;Times;serif" w:hAnsi="Times New Roman;Times;serif"/>
          <w:sz w:val="20"/>
        </w:rPr>
        <w:t xml:space="preserve">Exhibit 31.2 </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or Rule 15d-14(a)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I, Marshall Woodworth, certify that:</w:t>
      </w:r>
    </w:p>
    <w:p>
      <w:pPr>
        <w:pStyle w:val="TextBody"/>
        <w:bidi w:val="0"/>
        <w:spacing w:lineRule="auto" w:line="285" w:before="8" w:after="0"/>
        <w:ind w:left="0" w:right="0" w:hanging="0"/>
        <w:jc w:val="both"/>
        <w:rPr/>
      </w:pPr>
      <w:r>
        <w:rPr/>
        <w:t>​</w:t>
      </w:r>
    </w:p>
    <w:tbl>
      <w:tblPr>
        <w:tblW w:w="9520" w:type="dxa"/>
        <w:jc w:val="left"/>
        <w:tblInd w:w="0" w:type="dxa"/>
        <w:tblLayout w:type="fixed"/>
        <w:tblCellMar>
          <w:top w:w="0" w:type="dxa"/>
          <w:left w:w="0" w:type="dxa"/>
          <w:bottom w:w="0" w:type="dxa"/>
          <w:right w:w="0" w:type="dxa"/>
        </w:tblCellMar>
      </w:tblPr>
      <w:tblGrid>
        <w:gridCol w:w="245"/>
        <w:gridCol w:w="927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March 31, 2026 of MetaVia Inc.;</w:t>
            </w:r>
          </w:p>
        </w:tc>
      </w:tr>
    </w:tbl>
    <w:p>
      <w:pPr>
        <w:pStyle w:val="TextBody"/>
        <w:bidi w:val="0"/>
        <w:spacing w:lineRule="auto" w:line="285" w:before="8"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this report does not contain any untrue statement of a material fact or omit</w:t>
            </w:r>
            <w:r>
              <w:rPr>
                <w:caps w:val="false"/>
                <w:smallCaps w:val="false"/>
                <w:spacing w:val="-28"/>
              </w:rPr>
              <w:t xml:space="preserve"> </w:t>
            </w:r>
            <w:r>
              <w:rPr>
                <w:rFonts w:ascii="Times New Roman;Times;serif" w:hAnsi="Times New Roman;Times;serif"/>
                <w:b w:val="false"/>
                <w:i w:val="false"/>
                <w:caps w:val="false"/>
                <w:smallCaps w:val="false"/>
                <w:sz w:val="20"/>
              </w:rPr>
              <w:t>to state a material fact necessary to make the statements made, in light of the circumstances under which such statements were made, not misleading with respect to the period covered by this</w:t>
            </w:r>
            <w:r>
              <w:rPr>
                <w:caps w:val="false"/>
                <w:smallCaps w:val="false"/>
                <w:spacing w:val="-28"/>
              </w:rPr>
              <w:t xml:space="preserve"> </w:t>
            </w:r>
            <w:r>
              <w:rPr>
                <w:rFonts w:ascii="Times New Roman;Times;serif" w:hAnsi="Times New Roman;Times;serif"/>
                <w:b w:val="false"/>
                <w:i w:val="false"/>
                <w:caps w:val="false"/>
                <w:smallCaps w:val="false"/>
                <w:sz w:val="20"/>
              </w:rPr>
              <w:t>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w:t>
            </w:r>
            <w:r>
              <w:rPr>
                <w:caps w:val="false"/>
                <w:smallCaps w:val="false"/>
                <w:spacing w:val="-6"/>
              </w:rPr>
              <w:t xml:space="preserve"> </w:t>
            </w:r>
            <w:r>
              <w:rPr>
                <w:rFonts w:ascii="Times New Roman;Times;serif" w:hAnsi="Times New Roman;Times;serif"/>
                <w:b w:val="false"/>
                <w:i w:val="false"/>
                <w:caps w:val="false"/>
                <w:smallCaps w:val="false"/>
                <w:sz w:val="20"/>
              </w:rPr>
              <w:t>present</w:t>
            </w:r>
            <w:r>
              <w:rPr>
                <w:caps w:val="false"/>
                <w:smallCaps w:val="false"/>
                <w:spacing w:val="-3"/>
              </w:rPr>
              <w:t xml:space="preserve"> </w:t>
            </w:r>
            <w:r>
              <w:rPr>
                <w:rFonts w:ascii="Times New Roman;Times;serif" w:hAnsi="Times New Roman;Times;serif"/>
                <w:b w:val="false"/>
                <w:i w:val="false"/>
                <w:caps w:val="false"/>
                <w:smallCaps w:val="false"/>
                <w:sz w:val="20"/>
              </w:rPr>
              <w:t>in</w:t>
            </w:r>
            <w:r>
              <w:rPr>
                <w:caps w:val="false"/>
                <w:smallCaps w:val="false"/>
                <w:spacing w:val="-3"/>
              </w:rPr>
              <w:t xml:space="preserve"> </w:t>
            </w:r>
            <w:r>
              <w:rPr>
                <w:rFonts w:ascii="Times New Roman;Times;serif" w:hAnsi="Times New Roman;Times;serif"/>
                <w:b w:val="false"/>
                <w:i w:val="false"/>
                <w:caps w:val="false"/>
                <w:smallCaps w:val="false"/>
                <w:sz w:val="20"/>
              </w:rPr>
              <w:t>all</w:t>
            </w:r>
            <w:r>
              <w:rPr>
                <w:caps w:val="false"/>
                <w:smallCaps w:val="false"/>
                <w:spacing w:val="-1"/>
              </w:rPr>
              <w:t xml:space="preserve"> </w:t>
            </w:r>
            <w:r>
              <w:rPr>
                <w:rFonts w:ascii="Times New Roman;Times;serif" w:hAnsi="Times New Roman;Times;serif"/>
                <w:b w:val="false"/>
                <w:i w:val="false"/>
                <w:caps w:val="false"/>
                <w:smallCaps w:val="false"/>
                <w:sz w:val="20"/>
              </w:rPr>
              <w:t>material</w:t>
            </w:r>
            <w:r>
              <w:rPr>
                <w:caps w:val="false"/>
                <w:smallCaps w:val="false"/>
                <w:spacing w:val="-2"/>
              </w:rPr>
              <w:t xml:space="preserve"> </w:t>
            </w:r>
            <w:r>
              <w:rPr>
                <w:rFonts w:ascii="Times New Roman;Times;serif" w:hAnsi="Times New Roman;Times;serif"/>
                <w:b w:val="false"/>
                <w:i w:val="false"/>
                <w:caps w:val="false"/>
                <w:smallCaps w:val="false"/>
                <w:sz w:val="20"/>
              </w:rPr>
              <w:t>respects</w:t>
            </w:r>
            <w:r>
              <w:rPr>
                <w:caps w:val="false"/>
                <w:smallCaps w:val="false"/>
                <w:spacing w:val="-3"/>
              </w:rPr>
              <w:t xml:space="preserve"> </w:t>
            </w:r>
            <w:r>
              <w:rPr>
                <w:rFonts w:ascii="Times New Roman;Times;serif" w:hAnsi="Times New Roman;Times;serif"/>
                <w:b w:val="false"/>
                <w:i w:val="false"/>
                <w:caps w:val="false"/>
                <w:smallCaps w:val="false"/>
                <w:sz w:val="20"/>
              </w:rPr>
              <w:t>the financial</w:t>
            </w:r>
            <w:r>
              <w:rPr>
                <w:caps w:val="false"/>
                <w:smallCaps w:val="false"/>
                <w:spacing w:val="-2"/>
              </w:rPr>
              <w:t xml:space="preserve"> </w:t>
            </w:r>
            <w:r>
              <w:rPr>
                <w:rFonts w:ascii="Times New Roman;Times;serif" w:hAnsi="Times New Roman;Times;serif"/>
                <w:b w:val="false"/>
                <w:i w:val="false"/>
                <w:caps w:val="false"/>
                <w:smallCaps w:val="false"/>
                <w:sz w:val="20"/>
              </w:rPr>
              <w:t>condition, results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operations</w:t>
            </w:r>
            <w:r>
              <w:rPr>
                <w:caps w:val="false"/>
                <w:smallCaps w:val="false"/>
                <w:spacing w:val="-3"/>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cash</w:t>
            </w:r>
            <w:r>
              <w:rPr>
                <w:caps w:val="false"/>
                <w:smallCaps w:val="false"/>
                <w:spacing w:val="-2"/>
              </w:rPr>
              <w:t xml:space="preserve"> </w:t>
            </w:r>
            <w:r>
              <w:rPr>
                <w:rFonts w:ascii="Times New Roman;Times;serif" w:hAnsi="Times New Roman;Times;serif"/>
                <w:b w:val="false"/>
                <w:i w:val="false"/>
                <w:caps w:val="false"/>
                <w:smallCaps w:val="false"/>
                <w:sz w:val="20"/>
              </w:rPr>
              <w:t>flows</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2"/>
              </w:rPr>
              <w:t xml:space="preserve"> </w:t>
            </w:r>
            <w:r>
              <w:rPr>
                <w:rFonts w:ascii="Times New Roman;Times;serif" w:hAnsi="Times New Roman;Times;serif"/>
                <w:b w:val="false"/>
                <w:i w:val="false"/>
                <w:caps w:val="false"/>
                <w:smallCaps w:val="false"/>
                <w:sz w:val="20"/>
              </w:rPr>
              <w:t>registrant</w:t>
            </w:r>
            <w:r>
              <w:rPr>
                <w:caps w:val="false"/>
                <w:smallCaps w:val="false"/>
                <w:spacing w:val="-3"/>
              </w:rPr>
              <w:t xml:space="preserve"> </w:t>
            </w:r>
            <w:r>
              <w:rPr>
                <w:rFonts w:ascii="Times New Roman;Times;serif" w:hAnsi="Times New Roman;Times;serif"/>
                <w:b w:val="false"/>
                <w:i w:val="false"/>
                <w:caps w:val="false"/>
                <w:smallCaps w:val="false"/>
                <w:sz w:val="20"/>
              </w:rPr>
              <w:t>as of, and for, the periods presented in this report;</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w:t>
            </w:r>
            <w:r>
              <w:rPr>
                <w:caps w:val="false"/>
                <w:smallCaps w:val="false"/>
                <w:spacing w:val="-3"/>
              </w:rPr>
              <w:t xml:space="preserve"> </w:t>
            </w:r>
            <w:r>
              <w:rPr>
                <w:rFonts w:ascii="Times New Roman;Times;serif" w:hAnsi="Times New Roman;Times;serif"/>
                <w:b w:val="false"/>
                <w:i w:val="false"/>
                <w:caps w:val="false"/>
                <w:smallCaps w:val="false"/>
                <w:sz w:val="20"/>
              </w:rPr>
              <w:t>are</w:t>
            </w:r>
            <w:r>
              <w:rPr>
                <w:caps w:val="false"/>
                <w:smallCaps w:val="false"/>
                <w:spacing w:val="-3"/>
              </w:rPr>
              <w:t xml:space="preserve"> </w:t>
            </w:r>
            <w:r>
              <w:rPr>
                <w:rFonts w:ascii="Times New Roman;Times;serif" w:hAnsi="Times New Roman;Times;serif"/>
                <w:b w:val="false"/>
                <w:i w:val="false"/>
                <w:caps w:val="false"/>
                <w:smallCaps w:val="false"/>
                <w:sz w:val="20"/>
              </w:rPr>
              <w:t>responsible</w:t>
            </w:r>
            <w:r>
              <w:rPr>
                <w:caps w:val="false"/>
                <w:smallCaps w:val="false"/>
                <w:spacing w:val="-3"/>
              </w:rPr>
              <w:t xml:space="preserve"> </w:t>
            </w:r>
            <w:r>
              <w:rPr>
                <w:rFonts w:ascii="Times New Roman;Times;serif" w:hAnsi="Times New Roman;Times;serif"/>
                <w:b w:val="false"/>
                <w:i w:val="false"/>
                <w:caps w:val="false"/>
                <w:smallCaps w:val="false"/>
                <w:sz w:val="20"/>
              </w:rPr>
              <w:t>for</w:t>
            </w:r>
            <w:r>
              <w:rPr>
                <w:caps w:val="false"/>
                <w:smallCaps w:val="false"/>
                <w:spacing w:val="-3"/>
              </w:rPr>
              <w:t xml:space="preserve"> </w:t>
            </w:r>
            <w:r>
              <w:rPr>
                <w:rFonts w:ascii="Times New Roman;Times;serif" w:hAnsi="Times New Roman;Times;serif"/>
                <w:b w:val="false"/>
                <w:i w:val="false"/>
                <w:caps w:val="false"/>
                <w:smallCaps w:val="false"/>
                <w:sz w:val="20"/>
              </w:rPr>
              <w:t>establishing</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1"/>
              </w:rPr>
              <w:t xml:space="preserve"> </w:t>
            </w:r>
            <w:r>
              <w:rPr>
                <w:rFonts w:ascii="Times New Roman;Times;serif" w:hAnsi="Times New Roman;Times;serif"/>
                <w:b w:val="false"/>
                <w:i w:val="false"/>
                <w:caps w:val="false"/>
                <w:smallCaps w:val="false"/>
                <w:sz w:val="20"/>
              </w:rPr>
              <w:t>maintaining</w:t>
            </w:r>
            <w:r>
              <w:rPr>
                <w:caps w:val="false"/>
                <w:smallCaps w:val="false"/>
                <w:spacing w:val="-4"/>
              </w:rPr>
              <w:t xml:space="preserve"> </w:t>
            </w:r>
            <w:r>
              <w:rPr>
                <w:rFonts w:ascii="Times New Roman;Times;serif" w:hAnsi="Times New Roman;Times;serif"/>
                <w:b w:val="false"/>
                <w:i w:val="false"/>
                <w:caps w:val="false"/>
                <w:smallCaps w:val="false"/>
                <w:sz w:val="20"/>
              </w:rPr>
              <w:t>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w:t>
            </w:r>
            <w:r>
              <w:rPr>
                <w:caps w:val="false"/>
                <w:smallCaps w:val="false"/>
                <w:spacing w:val="-15"/>
              </w:rPr>
              <w:t xml:space="preserve"> </w:t>
            </w:r>
            <w:r>
              <w:rPr>
                <w:rFonts w:ascii="Times New Roman;Times;serif" w:hAnsi="Times New Roman;Times;serif"/>
                <w:b w:val="false"/>
                <w:i w:val="false"/>
                <w:caps w:val="false"/>
                <w:smallCaps w:val="false"/>
                <w:sz w:val="20"/>
              </w:rPr>
              <w:t>prepared;</w:t>
            </w:r>
          </w:p>
        </w:tc>
      </w:tr>
    </w:tbl>
    <w:p>
      <w:pPr>
        <w:pStyle w:val="TextBody"/>
        <w:bidi w:val="0"/>
        <w:spacing w:lineRule="auto" w:line="285" w:before="11"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designed such internal control over financial reporting, or caused such internal control over financial</w:t>
            </w:r>
            <w:r>
              <w:rPr>
                <w:caps w:val="false"/>
                <w:smallCaps w:val="false"/>
                <w:spacing w:val="-4"/>
              </w:rPr>
              <w:t xml:space="preserve"> </w:t>
            </w:r>
            <w:r>
              <w:rPr>
                <w:rFonts w:ascii="Times New Roman;Times;serif" w:hAnsi="Times New Roman;Times;serif"/>
                <w:b w:val="false"/>
                <w:i w:val="false"/>
                <w:caps w:val="false"/>
                <w:smallCaps w:val="false"/>
                <w:sz w:val="20"/>
              </w:rPr>
              <w:t>reporting</w:t>
            </w:r>
            <w:r>
              <w:rPr>
                <w:caps w:val="false"/>
                <w:smallCaps w:val="false"/>
                <w:spacing w:val="-4"/>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be</w:t>
            </w:r>
            <w:r>
              <w:rPr>
                <w:caps w:val="false"/>
                <w:smallCaps w:val="false"/>
                <w:spacing w:val="-3"/>
              </w:rPr>
              <w:t xml:space="preserve"> </w:t>
            </w:r>
            <w:r>
              <w:rPr>
                <w:rFonts w:ascii="Times New Roman;Times;serif" w:hAnsi="Times New Roman;Times;serif"/>
                <w:b w:val="false"/>
                <w:i w:val="false"/>
                <w:caps w:val="false"/>
                <w:smallCaps w:val="false"/>
                <w:sz w:val="20"/>
              </w:rPr>
              <w:t>designed</w:t>
            </w:r>
            <w:r>
              <w:rPr>
                <w:caps w:val="false"/>
                <w:smallCaps w:val="false"/>
                <w:spacing w:val="-2"/>
              </w:rPr>
              <w:t xml:space="preserve"> </w:t>
            </w:r>
            <w:r>
              <w:rPr>
                <w:rFonts w:ascii="Times New Roman;Times;serif" w:hAnsi="Times New Roman;Times;serif"/>
                <w:b w:val="false"/>
                <w:i w:val="false"/>
                <w:caps w:val="false"/>
                <w:smallCaps w:val="false"/>
                <w:sz w:val="20"/>
              </w:rPr>
              <w:t>under</w:t>
            </w:r>
            <w:r>
              <w:rPr>
                <w:caps w:val="false"/>
                <w:smallCaps w:val="false"/>
                <w:spacing w:val="-2"/>
              </w:rPr>
              <w:t xml:space="preserve"> </w:t>
            </w:r>
            <w:r>
              <w:rPr>
                <w:rFonts w:ascii="Times New Roman;Times;serif" w:hAnsi="Times New Roman;Times;serif"/>
                <w:b w:val="false"/>
                <w:i w:val="false"/>
                <w:caps w:val="false"/>
                <w:smallCaps w:val="false"/>
                <w:sz w:val="20"/>
              </w:rPr>
              <w:t>our</w:t>
            </w:r>
            <w:r>
              <w:rPr>
                <w:caps w:val="false"/>
                <w:smallCaps w:val="false"/>
                <w:spacing w:val="-3"/>
              </w:rPr>
              <w:t xml:space="preserve"> </w:t>
            </w:r>
            <w:r>
              <w:rPr>
                <w:rFonts w:ascii="Times New Roman;Times;serif" w:hAnsi="Times New Roman;Times;serif"/>
                <w:b w:val="false"/>
                <w:i w:val="false"/>
                <w:caps w:val="false"/>
                <w:smallCaps w:val="false"/>
                <w:sz w:val="20"/>
              </w:rPr>
              <w:t>supervision,</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provide</w:t>
            </w:r>
            <w:r>
              <w:rPr>
                <w:caps w:val="false"/>
                <w:smallCaps w:val="false"/>
                <w:spacing w:val="-3"/>
              </w:rPr>
              <w:t xml:space="preserve"> </w:t>
            </w:r>
            <w:r>
              <w:rPr>
                <w:rFonts w:ascii="Times New Roman;Times;serif" w:hAnsi="Times New Roman;Times;serif"/>
                <w:b w:val="false"/>
                <w:i w:val="false"/>
                <w:caps w:val="false"/>
                <w:smallCaps w:val="false"/>
                <w:sz w:val="20"/>
              </w:rPr>
              <w:t>reasonable</w:t>
            </w:r>
            <w:r>
              <w:rPr>
                <w:caps w:val="false"/>
                <w:smallCaps w:val="false"/>
                <w:spacing w:val="-3"/>
              </w:rPr>
              <w:t xml:space="preserve"> </w:t>
            </w:r>
            <w:r>
              <w:rPr>
                <w:rFonts w:ascii="Times New Roman;Times;serif" w:hAnsi="Times New Roman;Times;serif"/>
                <w:b w:val="false"/>
                <w:i w:val="false"/>
                <w:caps w:val="false"/>
                <w:smallCaps w:val="false"/>
                <w:sz w:val="20"/>
              </w:rPr>
              <w:t>assurance regarding</w:t>
            </w:r>
            <w:r>
              <w:rPr>
                <w:caps w:val="false"/>
                <w:smallCaps w:val="false"/>
                <w:spacing w:val="-4"/>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reliability</w:t>
            </w:r>
            <w:r>
              <w:rPr>
                <w:caps w:val="false"/>
                <w:smallCaps w:val="false"/>
                <w:spacing w:val="-4"/>
              </w:rPr>
              <w:t xml:space="preserve"> </w:t>
            </w:r>
            <w:r>
              <w:rPr>
                <w:rFonts w:ascii="Times New Roman;Times;serif" w:hAnsi="Times New Roman;Times;serif"/>
                <w:b w:val="false"/>
                <w:i w:val="false"/>
                <w:caps w:val="false"/>
                <w:smallCaps w:val="false"/>
                <w:sz w:val="20"/>
              </w:rPr>
              <w:t>of financial reporting and the preparation of financial statements for external purposes in accordance with generally accepted accounting</w:t>
            </w:r>
            <w:r>
              <w:rPr>
                <w:caps w:val="false"/>
                <w:smallCaps w:val="false"/>
                <w:spacing w:val="-11"/>
              </w:rPr>
              <w:t xml:space="preserve"> </w:t>
            </w:r>
            <w:r>
              <w:rPr>
                <w:rFonts w:ascii="Times New Roman;Times;serif" w:hAnsi="Times New Roman;Times;serif"/>
                <w:b w:val="false"/>
                <w:i w:val="false"/>
                <w:caps w:val="false"/>
                <w:smallCaps w:val="false"/>
                <w:sz w:val="20"/>
              </w:rPr>
              <w:t>principles;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r>
              <w:rPr>
                <w:caps w:val="false"/>
                <w:smallCaps w:val="false"/>
                <w:spacing w:val="-21"/>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w:t>
            </w:r>
            <w:r>
              <w:rPr>
                <w:caps w:val="false"/>
                <w:smallCaps w:val="false"/>
                <w:spacing w:val="-3"/>
              </w:rPr>
              <w:t xml:space="preserve"> </w:t>
            </w:r>
            <w:r>
              <w:rPr>
                <w:rFonts w:ascii="Times New Roman;Times;serif" w:hAnsi="Times New Roman;Times;serif"/>
                <w:b w:val="false"/>
                <w:i w:val="false"/>
                <w:caps w:val="false"/>
                <w:smallCaps w:val="false"/>
                <w:sz w:val="20"/>
              </w:rPr>
              <w:t>report)</w:t>
            </w:r>
            <w:r>
              <w:rPr>
                <w:caps w:val="false"/>
                <w:smallCaps w:val="false"/>
                <w:spacing w:val="-3"/>
              </w:rPr>
              <w:t xml:space="preserve"> </w:t>
            </w:r>
            <w:r>
              <w:rPr>
                <w:rFonts w:ascii="Times New Roman;Times;serif" w:hAnsi="Times New Roman;Times;serif"/>
                <w:b w:val="false"/>
                <w:i w:val="false"/>
                <w:caps w:val="false"/>
                <w:smallCaps w:val="false"/>
                <w:sz w:val="20"/>
              </w:rPr>
              <w:t>that</w:t>
            </w:r>
            <w:r>
              <w:rPr>
                <w:caps w:val="false"/>
                <w:smallCaps w:val="false"/>
                <w:spacing w:val="-3"/>
              </w:rPr>
              <w:t xml:space="preserve"> </w:t>
            </w:r>
            <w:r>
              <w:rPr>
                <w:rFonts w:ascii="Times New Roman;Times;serif" w:hAnsi="Times New Roman;Times;serif"/>
                <w:b w:val="false"/>
                <w:i w:val="false"/>
                <w:caps w:val="false"/>
                <w:smallCaps w:val="false"/>
                <w:sz w:val="20"/>
              </w:rPr>
              <w:t>has</w:t>
            </w:r>
            <w:r>
              <w:rPr>
                <w:caps w:val="false"/>
                <w:smallCaps w:val="false"/>
                <w:spacing w:val="-1"/>
              </w:rPr>
              <w:t xml:space="preserve"> </w:t>
            </w:r>
            <w:r>
              <w:rPr>
                <w:rFonts w:ascii="Times New Roman;Times;serif" w:hAnsi="Times New Roman;Times;serif"/>
                <w:b w:val="false"/>
                <w:i w:val="false"/>
                <w:caps w:val="false"/>
                <w:smallCaps w:val="false"/>
                <w:sz w:val="20"/>
              </w:rPr>
              <w:t>materially</w:t>
            </w:r>
            <w:r>
              <w:rPr>
                <w:caps w:val="false"/>
                <w:smallCaps w:val="false"/>
                <w:spacing w:val="-3"/>
              </w:rPr>
              <w:t xml:space="preserve"> </w:t>
            </w:r>
            <w:r>
              <w:rPr>
                <w:rFonts w:ascii="Times New Roman;Times;serif" w:hAnsi="Times New Roman;Times;serif"/>
                <w:b w:val="false"/>
                <w:i w:val="false"/>
                <w:caps w:val="false"/>
                <w:smallCaps w:val="false"/>
                <w:sz w:val="20"/>
              </w:rPr>
              <w:t>affected,</w:t>
            </w:r>
            <w:r>
              <w:rPr>
                <w:caps w:val="false"/>
                <w:smallCaps w:val="false"/>
                <w:spacing w:val="-2"/>
              </w:rPr>
              <w:t xml:space="preserve"> </w:t>
            </w:r>
            <w:r>
              <w:rPr>
                <w:rFonts w:ascii="Times New Roman;Times;serif" w:hAnsi="Times New Roman;Times;serif"/>
                <w:b w:val="false"/>
                <w:i w:val="false"/>
                <w:caps w:val="false"/>
                <w:smallCaps w:val="false"/>
                <w:sz w:val="20"/>
              </w:rPr>
              <w:t>or</w:t>
            </w:r>
            <w:r>
              <w:rPr>
                <w:caps w:val="false"/>
                <w:smallCaps w:val="false"/>
                <w:spacing w:val="-3"/>
              </w:rPr>
              <w:t xml:space="preserve"> </w:t>
            </w:r>
            <w:r>
              <w:rPr>
                <w:rFonts w:ascii="Times New Roman;Times;serif" w:hAnsi="Times New Roman;Times;serif"/>
                <w:b w:val="false"/>
                <w:i w:val="false"/>
                <w:caps w:val="false"/>
                <w:smallCaps w:val="false"/>
                <w:sz w:val="20"/>
              </w:rPr>
              <w:t>is</w:t>
            </w:r>
            <w:r>
              <w:rPr>
                <w:caps w:val="false"/>
                <w:smallCaps w:val="false"/>
                <w:spacing w:val="-4"/>
              </w:rPr>
              <w:t xml:space="preserve"> </w:t>
            </w:r>
            <w:r>
              <w:rPr>
                <w:rFonts w:ascii="Times New Roman;Times;serif" w:hAnsi="Times New Roman;Times;serif"/>
                <w:b w:val="false"/>
                <w:i w:val="false"/>
                <w:caps w:val="false"/>
                <w:smallCaps w:val="false"/>
                <w:sz w:val="20"/>
              </w:rPr>
              <w:t>reasonably</w:t>
            </w:r>
            <w:r>
              <w:rPr>
                <w:caps w:val="false"/>
                <w:smallCaps w:val="false"/>
                <w:spacing w:val="-4"/>
              </w:rPr>
              <w:t xml:space="preserve"> </w:t>
            </w:r>
            <w:r>
              <w:rPr>
                <w:rFonts w:ascii="Times New Roman;Times;serif" w:hAnsi="Times New Roman;Times;serif"/>
                <w:b w:val="false"/>
                <w:i w:val="false"/>
                <w:caps w:val="false"/>
                <w:smallCaps w:val="false"/>
                <w:sz w:val="20"/>
              </w:rPr>
              <w:t>likely</w:t>
            </w:r>
            <w:r>
              <w:rPr>
                <w:caps w:val="false"/>
                <w:smallCaps w:val="false"/>
                <w:spacing w:val="-6"/>
              </w:rPr>
              <w:t xml:space="preserve"> </w:t>
            </w:r>
            <w:r>
              <w:rPr>
                <w:rFonts w:ascii="Times New Roman;Times;serif" w:hAnsi="Times New Roman;Times;serif"/>
                <w:b w:val="false"/>
                <w:i w:val="false"/>
                <w:caps w:val="false"/>
                <w:smallCaps w:val="false"/>
                <w:sz w:val="20"/>
              </w:rPr>
              <w:t>to materially</w:t>
            </w:r>
            <w:r>
              <w:rPr>
                <w:caps w:val="false"/>
                <w:smallCaps w:val="false"/>
                <w:spacing w:val="-4"/>
              </w:rPr>
              <w:t xml:space="preserve"> </w:t>
            </w:r>
            <w:r>
              <w:rPr>
                <w:rFonts w:ascii="Times New Roman;Times;serif" w:hAnsi="Times New Roman;Times;serif"/>
                <w:b w:val="false"/>
                <w:i w:val="false"/>
                <w:caps w:val="false"/>
                <w:smallCaps w:val="false"/>
                <w:sz w:val="20"/>
              </w:rPr>
              <w:t>affect,</w:t>
            </w:r>
            <w:r>
              <w:rPr>
                <w:caps w:val="false"/>
                <w:smallCaps w:val="false"/>
                <w:spacing w:val="-3"/>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internal</w:t>
            </w:r>
            <w:r>
              <w:rPr>
                <w:caps w:val="false"/>
                <w:smallCaps w:val="false"/>
                <w:spacing w:val="-4"/>
              </w:rPr>
              <w:t xml:space="preserve"> </w:t>
            </w:r>
            <w:r>
              <w:rPr>
                <w:rFonts w:ascii="Times New Roman;Times;serif" w:hAnsi="Times New Roman;Times;serif"/>
                <w:b w:val="false"/>
                <w:i w:val="false"/>
                <w:caps w:val="false"/>
                <w:smallCaps w:val="false"/>
                <w:sz w:val="20"/>
              </w:rPr>
              <w:t>control over financial reporting;</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pBdr/>
        <w:bidi w:val="0"/>
        <w:spacing w:lineRule="auto" w:line="285" w:before="1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w:t>
            </w:r>
            <w:r>
              <w:rPr>
                <w:caps w:val="false"/>
                <w:smallCaps w:val="false"/>
                <w:spacing w:val="-4"/>
              </w:rPr>
              <w:t xml:space="preserve"> </w:t>
            </w:r>
            <w:r>
              <w:rPr>
                <w:rFonts w:ascii="Times New Roman;Times;serif" w:hAnsi="Times New Roman;Times;serif"/>
                <w:b w:val="false"/>
                <w:i w:val="false"/>
                <w:caps w:val="false"/>
                <w:smallCaps w:val="false"/>
                <w:sz w:val="20"/>
              </w:rPr>
              <w:t>control</w:t>
            </w:r>
            <w:r>
              <w:rPr>
                <w:caps w:val="false"/>
                <w:smallCaps w:val="false"/>
                <w:spacing w:val="-4"/>
              </w:rPr>
              <w:t xml:space="preserve"> </w:t>
            </w:r>
            <w:r>
              <w:rPr>
                <w:rFonts w:ascii="Times New Roman;Times;serif" w:hAnsi="Times New Roman;Times;serif"/>
                <w:b w:val="false"/>
                <w:i w:val="false"/>
                <w:caps w:val="false"/>
                <w:smallCaps w:val="false"/>
                <w:sz w:val="20"/>
              </w:rPr>
              <w:t>over</w:t>
            </w:r>
            <w:r>
              <w:rPr>
                <w:caps w:val="false"/>
                <w:smallCaps w:val="false"/>
                <w:spacing w:val="-2"/>
              </w:rPr>
              <w:t xml:space="preserve"> </w:t>
            </w:r>
            <w:r>
              <w:rPr>
                <w:rFonts w:ascii="Times New Roman;Times;serif" w:hAnsi="Times New Roman;Times;serif"/>
                <w:b w:val="false"/>
                <w:i w:val="false"/>
                <w:caps w:val="false"/>
                <w:smallCaps w:val="false"/>
                <w:sz w:val="20"/>
              </w:rPr>
              <w:t>financial</w:t>
            </w:r>
            <w:r>
              <w:rPr>
                <w:caps w:val="false"/>
                <w:smallCaps w:val="false"/>
                <w:spacing w:val="-1"/>
              </w:rPr>
              <w:t xml:space="preserve"> </w:t>
            </w:r>
            <w:r>
              <w:rPr>
                <w:rFonts w:ascii="Times New Roman;Times;serif" w:hAnsi="Times New Roman;Times;serif"/>
                <w:b w:val="false"/>
                <w:i w:val="false"/>
                <w:caps w:val="false"/>
                <w:smallCaps w:val="false"/>
                <w:sz w:val="20"/>
              </w:rPr>
              <w:t>reporting,</w:t>
            </w:r>
            <w:r>
              <w:rPr>
                <w:caps w:val="false"/>
                <w:smallCaps w:val="false"/>
                <w:spacing w:val="-3"/>
              </w:rPr>
              <w:t xml:space="preserve"> </w:t>
            </w:r>
            <w:r>
              <w:rPr>
                <w:rFonts w:ascii="Times New Roman;Times;serif" w:hAnsi="Times New Roman;Times;serif"/>
                <w:b w:val="false"/>
                <w:i w:val="false"/>
                <w:caps w:val="false"/>
                <w:smallCaps w:val="false"/>
                <w:sz w:val="20"/>
              </w:rPr>
              <w:t>to</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auditors</w:t>
            </w:r>
            <w:r>
              <w:rPr>
                <w:caps w:val="false"/>
                <w:smallCaps w:val="false"/>
                <w:spacing w:val="-4"/>
              </w:rPr>
              <w:t xml:space="preserve"> </w:t>
            </w:r>
            <w:r>
              <w:rPr>
                <w:rFonts w:ascii="Times New Roman;Times;serif" w:hAnsi="Times New Roman;Times;serif"/>
                <w:b w:val="false"/>
                <w:i w:val="false"/>
                <w:caps w:val="false"/>
                <w:smallCaps w:val="false"/>
                <w:sz w:val="20"/>
              </w:rPr>
              <w:t>and</w:t>
            </w:r>
            <w:r>
              <w:rPr>
                <w:caps w:val="false"/>
                <w:smallCaps w:val="false"/>
                <w:spacing w:val="-2"/>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audit</w:t>
            </w:r>
            <w:r>
              <w:rPr>
                <w:caps w:val="false"/>
                <w:smallCaps w:val="false"/>
                <w:spacing w:val="-4"/>
              </w:rPr>
              <w:t xml:space="preserve"> </w:t>
            </w:r>
            <w:r>
              <w:rPr>
                <w:rFonts w:ascii="Times New Roman;Times;serif" w:hAnsi="Times New Roman;Times;serif"/>
                <w:b w:val="false"/>
                <w:i w:val="false"/>
                <w:caps w:val="false"/>
                <w:smallCaps w:val="false"/>
                <w:sz w:val="20"/>
              </w:rPr>
              <w:t>committee</w:t>
            </w:r>
            <w:r>
              <w:rPr>
                <w:caps w:val="false"/>
                <w:smallCaps w:val="false"/>
                <w:spacing w:val="-3"/>
              </w:rPr>
              <w:t xml:space="preserve"> </w:t>
            </w:r>
            <w:r>
              <w:rPr>
                <w:rFonts w:ascii="Times New Roman;Times;serif" w:hAnsi="Times New Roman;Times;serif"/>
                <w:b w:val="false"/>
                <w:i w:val="false"/>
                <w:caps w:val="false"/>
                <w:smallCaps w:val="false"/>
                <w:sz w:val="20"/>
              </w:rPr>
              <w:t>of</w:t>
            </w:r>
            <w:r>
              <w:rPr>
                <w:caps w:val="false"/>
                <w:smallCaps w:val="false"/>
                <w:spacing w:val="-5"/>
              </w:rPr>
              <w:t xml:space="preserve"> </w:t>
            </w:r>
            <w:r>
              <w:rPr>
                <w:rFonts w:ascii="Times New Roman;Times;serif" w:hAnsi="Times New Roman;Times;serif"/>
                <w:b w:val="false"/>
                <w:i w:val="false"/>
                <w:caps w:val="false"/>
                <w:smallCaps w:val="false"/>
                <w:sz w:val="20"/>
              </w:rPr>
              <w:t>the</w:t>
            </w:r>
            <w:r>
              <w:rPr>
                <w:caps w:val="false"/>
                <w:smallCaps w:val="false"/>
                <w:spacing w:val="-3"/>
              </w:rPr>
              <w:t xml:space="preserve"> </w:t>
            </w:r>
            <w:r>
              <w:rPr>
                <w:rFonts w:ascii="Times New Roman;Times;serif" w:hAnsi="Times New Roman;Times;serif"/>
                <w:b w:val="false"/>
                <w:i w:val="false"/>
                <w:caps w:val="false"/>
                <w:smallCaps w:val="false"/>
                <w:sz w:val="20"/>
              </w:rPr>
              <w:t>registrant’s</w:t>
            </w:r>
            <w:r>
              <w:rPr>
                <w:caps w:val="false"/>
                <w:smallCaps w:val="false"/>
                <w:spacing w:val="-4"/>
              </w:rPr>
              <w:t xml:space="preserve"> </w:t>
            </w:r>
            <w:r>
              <w:rPr>
                <w:rFonts w:ascii="Times New Roman;Times;serif" w:hAnsi="Times New Roman;Times;serif"/>
                <w:b w:val="false"/>
                <w:i w:val="false"/>
                <w:caps w:val="false"/>
                <w:smallCaps w:val="false"/>
                <w:sz w:val="20"/>
              </w:rPr>
              <w:t>board of directors (or persons performing the equivalent</w:t>
            </w:r>
            <w:r>
              <w:rPr>
                <w:caps w:val="false"/>
                <w:smallCaps w:val="false"/>
                <w:spacing w:val="-22"/>
              </w:rPr>
              <w:t xml:space="preserve"> </w:t>
            </w:r>
            <w:r>
              <w:rPr>
                <w:rFonts w:ascii="Times New Roman;Times;serif" w:hAnsi="Times New Roman;Times;serif"/>
                <w:b w:val="false"/>
                <w:i w:val="false"/>
                <w:caps w:val="false"/>
                <w:smallCaps w:val="false"/>
                <w:sz w:val="20"/>
              </w:rPr>
              <w:t>functions):</w:t>
            </w:r>
          </w:p>
        </w:tc>
      </w:tr>
    </w:tbl>
    <w:p>
      <w:pPr>
        <w:pStyle w:val="TextBody"/>
        <w:pBdr/>
        <w:bidi w:val="0"/>
        <w:spacing w:lineRule="auto" w:line="285" w:before="11"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all significant deficiencies and material weaknesses in the design or operation of internal control</w:t>
            </w:r>
            <w:r>
              <w:rPr>
                <w:caps w:val="false"/>
                <w:smallCaps w:val="false"/>
                <w:spacing w:val="-34"/>
              </w:rPr>
              <w:t xml:space="preserve"> </w:t>
            </w:r>
            <w:r>
              <w:rPr>
                <w:rFonts w:ascii="Times New Roman;Times;serif" w:hAnsi="Times New Roman;Times;serif"/>
                <w:b w:val="false"/>
                <w:i w:val="false"/>
                <w:caps w:val="false"/>
                <w:smallCaps w:val="false"/>
                <w:sz w:val="20"/>
              </w:rPr>
              <w:t>over financial reporting which are reasonably likely to adversely affect the registrant’s ability to record, process, summarize and report financial information;</w:t>
            </w:r>
            <w:r>
              <w:rPr>
                <w:caps w:val="false"/>
                <w:smallCaps w:val="false"/>
                <w:spacing w:val="-16"/>
              </w:rPr>
              <w:t xml:space="preserve"> </w:t>
            </w:r>
            <w:r>
              <w:rPr>
                <w:rFonts w:ascii="Times New Roman;Times;serif" w:hAnsi="Times New Roman;Times;serif"/>
                <w:b w:val="false"/>
                <w:i w:val="false"/>
                <w:caps w:val="false"/>
                <w:smallCaps w:val="false"/>
                <w:sz w:val="20"/>
              </w:rPr>
              <w:t>and</w:t>
            </w:r>
          </w:p>
        </w:tc>
      </w:tr>
    </w:tbl>
    <w:p>
      <w:pPr>
        <w:pStyle w:val="TextBody"/>
        <w:bidi w:val="0"/>
        <w:spacing w:lineRule="auto" w:line="285" w:before="0" w:after="0"/>
        <w:ind w:left="729"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fraud, whether or not material, that involves management or other employees who have</w:t>
            </w:r>
            <w:r>
              <w:rPr>
                <w:caps w:val="false"/>
                <w:smallCaps w:val="false"/>
                <w:spacing w:val="-30"/>
              </w:rPr>
              <w:t xml:space="preserve"> </w:t>
            </w:r>
            <w:r>
              <w:rPr>
                <w:rFonts w:ascii="Times New Roman;Times;serif" w:hAnsi="Times New Roman;Times;serif"/>
                <w:b w:val="false"/>
                <w:i w:val="false"/>
                <w:caps w:val="false"/>
                <w:smallCaps w:val="false"/>
                <w:sz w:val="20"/>
              </w:rPr>
              <w:t>a significant role in the registrant’s internal control over financial</w:t>
            </w:r>
            <w:r>
              <w:rPr>
                <w:caps w:val="false"/>
                <w:smallCaps w:val="false"/>
                <w:spacing w:val="-29"/>
              </w:rPr>
              <w:t xml:space="preserve"> </w:t>
            </w:r>
            <w:r>
              <w:rPr>
                <w:rFonts w:ascii="Times New Roman;Times;serif" w:hAnsi="Times New Roman;Times;serif"/>
                <w:b w:val="false"/>
                <w:i w:val="false"/>
                <w:caps w:val="false"/>
                <w:smallCaps w:val="false"/>
                <w:sz w:val="20"/>
              </w:rPr>
              <w:t>reporting.</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tbl>
      <w:tblPr>
        <w:tblW w:w="4157" w:type="dxa"/>
        <w:jc w:val="left"/>
        <w:tblInd w:w="0" w:type="dxa"/>
        <w:tblLayout w:type="fixed"/>
        <w:tblCellMar>
          <w:top w:w="0" w:type="dxa"/>
          <w:left w:w="0" w:type="dxa"/>
          <w:bottom w:w="0" w:type="dxa"/>
          <w:right w:w="0" w:type="dxa"/>
        </w:tblCellMar>
      </w:tblPr>
      <w:tblGrid>
        <w:gridCol w:w="1741"/>
        <w:gridCol w:w="2416"/>
      </w:tblGrid>
      <w:tr>
        <w:trPr/>
        <w:tc>
          <w:tcPr>
            <w:tcW w:w="1741"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lineRule="auto" w:line="285" w:before="0" w:after="0"/>
              <w:ind w:left="0" w:right="0" w:hanging="0"/>
              <w:jc w:val="left"/>
              <w:rPr/>
            </w:pPr>
            <w:r>
              <w:rPr/>
              <w:t>​</w:t>
            </w:r>
          </w:p>
        </w:tc>
      </w:tr>
      <w:tr>
        <w:trPr/>
        <w:tc>
          <w:tcPr>
            <w:tcW w:w="174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Date: May 14, 2026</w:t>
            </w:r>
          </w:p>
        </w:tc>
        <w:tc>
          <w:tcPr>
            <w:tcW w:w="2416" w:type="dxa"/>
            <w:tcBorders>
              <w:bottom w:val="single" w:sz="2" w:space="0" w:color="000000"/>
            </w:tcBorders>
            <w:tcMar>
              <w:bottom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 Marshall Woodworth</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lineRule="auto" w:line="285" w:before="0" w:after="0"/>
              <w:ind w:left="0" w:right="0" w:hanging="0"/>
              <w:jc w:val="both"/>
              <w:rPr/>
            </w:pPr>
            <w:r>
              <w:rPr/>
              <w:t>​</w:t>
            </w:r>
          </w:p>
        </w:tc>
        <w:tc>
          <w:tcPr>
            <w:tcW w:w="241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1741" w:type="dxa"/>
            <w:tcBorders/>
            <w:vAlign w:val="center"/>
          </w:tcPr>
          <w:p>
            <w:pPr>
              <w:pStyle w:val="TableContents"/>
              <w:bidi w:val="0"/>
              <w:spacing w:lineRule="auto" w:line="285" w:before="0" w:after="0"/>
              <w:ind w:left="0" w:right="0" w:hanging="0"/>
              <w:jc w:val="left"/>
              <w:rPr/>
            </w:pPr>
            <w:r>
              <w:rPr/>
              <w:t>​</w:t>
            </w:r>
          </w:p>
        </w:tc>
        <w:tc>
          <w:tcPr>
            <w:tcW w:w="241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686" w:name="mtva-20260331xex32d1.htm"/>
      <w:bookmarkStart w:id="687" w:name="ksmtva20260331xex32d1"/>
      <w:bookmarkEnd w:id="686"/>
      <w:bookmarkEnd w:id="687"/>
      <w:r>
        <w:rPr>
          <w:rFonts w:ascii="Times New Roman;Times;serif" w:hAnsi="Times New Roman;Times;serif"/>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Section 906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 1350)</w:t>
      </w:r>
    </w:p>
    <w:p>
      <w:pPr>
        <w:pStyle w:val="TextBody"/>
        <w:bidi w:val="0"/>
        <w:spacing w:lineRule="auto" w:line="292" w:before="0" w:after="0"/>
        <w:ind w:left="0" w:right="362" w:hanging="0"/>
        <w:jc w:val="left"/>
        <w:rPr/>
      </w:pPr>
      <w:r>
        <w:rPr/>
        <w:t>​</w:t>
      </w:r>
    </w:p>
    <w:p>
      <w:pPr>
        <w:pStyle w:val="TextBody"/>
        <w:bidi w:val="0"/>
        <w:spacing w:lineRule="auto" w:line="290" w:before="0" w:after="0"/>
        <w:ind w:left="0" w:right="362" w:hanging="0"/>
        <w:jc w:val="both"/>
        <w:rPr>
          <w:rFonts w:ascii="Times New Roman;Times;serif" w:hAnsi="Times New Roman;Times;serif"/>
          <w:sz w:val="20"/>
        </w:rPr>
      </w:pPr>
      <w:r>
        <w:rPr>
          <w:rFonts w:ascii="Times New Roman;Times;serif" w:hAnsi="Times New Roman;Times;serif"/>
          <w:sz w:val="20"/>
        </w:rPr>
        <w:t>In connection with the quarterly report on Form 10-Q for the quarterly period ended March 31, 2026 of MetaVia Inc. (the “Company”) as filed with the Securities and Exchange Commission (the “Report”), I, Hyung Heon Kim, President and Chief Executive Officer, certify, pursuant to 18 U.S.C. § 1350, as adopted pursuant to § 906 of the Sarbanes-Oxley Act of 2002, that:</w:t>
      </w:r>
    </w:p>
    <w:p>
      <w:pPr>
        <w:pStyle w:val="TextBody"/>
        <w:bidi w:val="0"/>
        <w:spacing w:lineRule="auto" w:line="290" w:before="0" w:after="0"/>
        <w:ind w:left="300" w:right="362" w:firstLine="420"/>
        <w:jc w:val="both"/>
        <w:rPr/>
      </w:pPr>
      <w:r>
        <w:rPr/>
        <w:t>​</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720" w:right="36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720" w:right="0" w:hanging="360"/>
        <w:jc w:val="both"/>
        <w:rPr/>
      </w:pPr>
      <w:r>
        <w:rPr/>
        <w:t>​</w:t>
      </w:r>
    </w:p>
    <w:p>
      <w:pPr>
        <w:pStyle w:val="TextBody"/>
        <w:bidi w:val="0"/>
        <w:spacing w:before="0" w:after="0"/>
        <w:ind w:left="0" w:right="0" w:hanging="0"/>
        <w:jc w:val="both"/>
        <w:rPr/>
      </w:pPr>
      <w:r>
        <w:rPr/>
        <w:t>​</w:t>
      </w:r>
    </w:p>
    <w:tbl>
      <w:tblPr>
        <w:tblW w:w="4952" w:type="dxa"/>
        <w:jc w:val="left"/>
        <w:tblInd w:w="0" w:type="dxa"/>
        <w:tblLayout w:type="fixed"/>
        <w:tblCellMar>
          <w:top w:w="0" w:type="dxa"/>
          <w:left w:w="0" w:type="dxa"/>
          <w:bottom w:w="0" w:type="dxa"/>
          <w:right w:w="0" w:type="dxa"/>
        </w:tblCellMar>
      </w:tblPr>
      <w:tblGrid>
        <w:gridCol w:w="1741"/>
        <w:gridCol w:w="3211"/>
      </w:tblGrid>
      <w:tr>
        <w:trPr/>
        <w:tc>
          <w:tcPr>
            <w:tcW w:w="174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14, 2026</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Hyung Heon Kim</w:t>
            </w:r>
          </w:p>
        </w:tc>
      </w:tr>
      <w:tr>
        <w:trPr/>
        <w:tc>
          <w:tcPr>
            <w:tcW w:w="1741" w:type="dxa"/>
            <w:tcBorders/>
            <w:vAlign w:val="center"/>
          </w:tcPr>
          <w:p>
            <w:pPr>
              <w:pStyle w:val="TableContents"/>
              <w:bidi w:val="0"/>
              <w:spacing w:before="0" w:after="0"/>
              <w:ind w:left="0" w:right="0" w:hanging="0"/>
              <w:jc w:val="both"/>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vAlign w:val="center"/>
          </w:tcPr>
          <w:p>
            <w:pPr>
              <w:pStyle w:val="TableContents"/>
              <w:bidi w:val="0"/>
              <w:spacing w:before="0" w:after="0"/>
              <w:ind w:left="0" w:right="0" w:hanging="0"/>
              <w:jc w:val="both"/>
              <w:rPr/>
            </w:pPr>
            <w:r>
              <w:rPr/>
              <w:t>​</w:t>
            </w:r>
          </w:p>
        </w:tc>
        <w:tc>
          <w:tcPr>
            <w:tcW w:w="32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74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bookmarkStart w:id="688" w:name="mtva-20260331xex32d2.htm"/>
      <w:bookmarkStart w:id="689" w:name="ksmtva20260331xex32d2"/>
      <w:bookmarkEnd w:id="688"/>
      <w:bookmarkEnd w:id="689"/>
      <w:r>
        <w:rPr>
          <w:rFonts w:ascii="Times New Roman;Times;serif" w:hAnsi="Times New Roman;Times;serif"/>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Section 906 of the Sarbanes-Oxley Act of 2002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 1350)</w:t>
      </w:r>
    </w:p>
    <w:p>
      <w:pPr>
        <w:pStyle w:val="TextBody"/>
        <w:bidi w:val="0"/>
        <w:spacing w:lineRule="auto" w:line="290" w:before="0" w:after="0"/>
        <w:ind w:left="0" w:right="362" w:hanging="0"/>
        <w:jc w:val="both"/>
        <w:rPr/>
      </w:pPr>
      <w:r>
        <w:rPr/>
        <w:t>​</w:t>
      </w:r>
    </w:p>
    <w:p>
      <w:pPr>
        <w:pStyle w:val="TextBody"/>
        <w:bidi w:val="0"/>
        <w:spacing w:lineRule="auto" w:line="290" w:before="0" w:after="0"/>
        <w:ind w:left="0" w:right="362" w:hanging="0"/>
        <w:jc w:val="both"/>
        <w:rPr>
          <w:rFonts w:ascii="Times New Roman;Times;serif" w:hAnsi="Times New Roman;Times;serif"/>
          <w:sz w:val="20"/>
        </w:rPr>
      </w:pPr>
      <w:r>
        <w:rPr>
          <w:rFonts w:ascii="Times New Roman;Times;serif" w:hAnsi="Times New Roman;Times;serif"/>
          <w:sz w:val="20"/>
        </w:rPr>
        <w:t>In connection with the quarterly report on Form 10-Q for the quarterly period ended March 31, 2026 of MetaVia Inc. (the “Company”)  as filed with the Securities and Exchange Commission (the “Report”), I, Marshall H. Woodworth, Chief Financial Officer, certify, pursuant to 18 U.S.C. § 1350, as adopted pursuant to § 906 of the Sarbanes-Oxley Act of 2002, that:</w:t>
      </w:r>
    </w:p>
    <w:p>
      <w:pPr>
        <w:pStyle w:val="TextBody"/>
        <w:bidi w:val="0"/>
        <w:spacing w:lineRule="auto" w:line="290" w:before="0" w:after="0"/>
        <w:ind w:left="300" w:right="362" w:firstLine="420"/>
        <w:jc w:val="both"/>
        <w:rPr/>
      </w:pPr>
      <w:r>
        <w:rPr/>
        <w:t>​</w:t>
      </w:r>
    </w:p>
    <w:tbl>
      <w:tblPr>
        <w:tblW w:w="9821" w:type="dxa"/>
        <w:jc w:val="left"/>
        <w:tblInd w:w="0" w:type="dxa"/>
        <w:tblLayout w:type="fixed"/>
        <w:tblCellMar>
          <w:top w:w="0" w:type="dxa"/>
          <w:left w:w="0" w:type="dxa"/>
          <w:bottom w:w="0" w:type="dxa"/>
          <w:right w:w="0" w:type="dxa"/>
        </w:tblCellMar>
      </w:tblPr>
      <w:tblGrid>
        <w:gridCol w:w="23"/>
        <w:gridCol w:w="245"/>
        <w:gridCol w:w="953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90" w:before="0" w:after="0"/>
        <w:ind w:left="720" w:right="362"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720" w:right="0" w:hanging="360"/>
        <w:jc w:val="both"/>
        <w:rPr/>
      </w:pPr>
      <w:r>
        <w:rPr/>
        <w:t>​</w:t>
      </w:r>
    </w:p>
    <w:p>
      <w:pPr>
        <w:pStyle w:val="TextBody"/>
        <w:bidi w:val="0"/>
        <w:spacing w:before="0" w:after="0"/>
        <w:ind w:left="0" w:right="0" w:hanging="0"/>
        <w:jc w:val="both"/>
        <w:rPr/>
      </w:pPr>
      <w:r>
        <w:rPr/>
        <w:t>​</w:t>
      </w:r>
    </w:p>
    <w:tbl>
      <w:tblPr>
        <w:tblW w:w="4157" w:type="dxa"/>
        <w:jc w:val="left"/>
        <w:tblInd w:w="0" w:type="dxa"/>
        <w:tblLayout w:type="fixed"/>
        <w:tblCellMar>
          <w:top w:w="0" w:type="dxa"/>
          <w:left w:w="0" w:type="dxa"/>
          <w:bottom w:w="0" w:type="dxa"/>
          <w:right w:w="0" w:type="dxa"/>
        </w:tblCellMar>
      </w:tblPr>
      <w:tblGrid>
        <w:gridCol w:w="1741"/>
        <w:gridCol w:w="2416"/>
      </w:tblGrid>
      <w:tr>
        <w:trPr/>
        <w:tc>
          <w:tcPr>
            <w:tcW w:w="174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May 14, 2026</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Marshall H. Woodworth</w:t>
            </w:r>
          </w:p>
        </w:tc>
      </w:tr>
      <w:tr>
        <w:trPr/>
        <w:tc>
          <w:tcPr>
            <w:tcW w:w="1741" w:type="dxa"/>
            <w:tcBorders/>
            <w:vAlign w:val="center"/>
          </w:tcPr>
          <w:p>
            <w:pPr>
              <w:pStyle w:val="TableContents"/>
              <w:bidi w:val="0"/>
              <w:spacing w:before="0" w:after="0"/>
              <w:ind w:left="0" w:right="0" w:hanging="0"/>
              <w:jc w:val="both"/>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both"/>
              <w:rPr/>
            </w:pPr>
            <w:r>
              <w:rPr/>
              <w:t>​</w:t>
            </w:r>
          </w:p>
        </w:tc>
        <w:tc>
          <w:tcPr>
            <w:tcW w:w="24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1741"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8287/000110465916138639/a16-16524_1ex3d1.htm" TargetMode="External"/><Relationship Id="rId4" Type="http://schemas.openxmlformats.org/officeDocument/2006/relationships/hyperlink" Target="https://www.sec.gov/Archives/edgar/data/1638287/000110465919076916/a19-28294_1ex3d1.htm" TargetMode="External"/><Relationship Id="rId5" Type="http://schemas.openxmlformats.org/officeDocument/2006/relationships/hyperlink" Target="https://www.sec.gov/Archives/edgar/data/1638287/000110465919076916/a19-28294_1ex3d2.htm" TargetMode="External"/><Relationship Id="rId6" Type="http://schemas.openxmlformats.org/officeDocument/2006/relationships/hyperlink" Target="https://www.sec.gov/Archives/edgar/data/1638287/000155837022014321/nrbo-20220912xex3d1.htm" TargetMode="External"/><Relationship Id="rId7" Type="http://schemas.openxmlformats.org/officeDocument/2006/relationships/hyperlink" Target="https://www.sec.gov/Archives/edgar/data/1638287/000155837023019894/nrbo-20231219xex3d1.htm" TargetMode="External"/><Relationship Id="rId8" Type="http://schemas.openxmlformats.org/officeDocument/2006/relationships/hyperlink" Target="https://www.sec.gov/Archives/edgar/data/1638287/000155837024015839/nrbo-20241115xex3d1.htm" TargetMode="External"/><Relationship Id="rId9" Type="http://schemas.openxmlformats.org/officeDocument/2006/relationships/hyperlink" Target="https://www.sec.gov/Archives/edgar/data/1638287/000110465925117540/mtva-20251202xex3d1.htm" TargetMode="External"/><Relationship Id="rId10" Type="http://schemas.openxmlformats.org/officeDocument/2006/relationships/hyperlink" Target="https://www.sec.gov/Archives/edgar/data/1638287/000155837024015839/nrbo-20241115xex3d2.htm" TargetMode="External"/><Relationship Id="rId11" Type="http://schemas.openxmlformats.org/officeDocument/2006/relationships/hyperlink" Target="https://www.sec.gov/Archives/edgar/data/1638287/000110465926004532/tm263364d1_ex4-4.htm" TargetMode="External"/><Relationship Id="rId12" Type="http://schemas.openxmlformats.org/officeDocument/2006/relationships/hyperlink" Target="https://www.sec.gov/Archives/edgar/data/1638287/000110465926004532/tm263364d1_ex4-1.htm" TargetMode="External"/><Relationship Id="rId13" Type="http://schemas.openxmlformats.org/officeDocument/2006/relationships/hyperlink" Target="https://www.sec.gov/Archives/edgar/data/1638287/000110465926004532/tm263364d1_ex4-2.htm" TargetMode="External"/><Relationship Id="rId14" Type="http://schemas.openxmlformats.org/officeDocument/2006/relationships/hyperlink" Target="https://www.sec.gov/Archives/edgar/data/1638287/000110465926004532/tm263364d1_ex4-3.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12861</Words>
  <Characters>69861</Characters>
  <CharactersWithSpaces>83144</CharactersWithSpaces>
  <Paragraphs>2828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